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8" w:rsidRDefault="00CA4448"/>
    <w:tbl>
      <w:tblPr>
        <w:tblW w:w="11340" w:type="dxa"/>
        <w:tblInd w:w="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0"/>
      </w:tblGrid>
      <w:tr w:rsidR="00506CFD">
        <w:tc>
          <w:tcPr>
            <w:tcW w:w="11340" w:type="dxa"/>
            <w:tcMar>
              <w:top w:w="567" w:type="dxa"/>
              <w:left w:w="567" w:type="dxa"/>
              <w:bottom w:w="567" w:type="dxa"/>
              <w:right w:w="567" w:type="dxa"/>
            </w:tcMar>
          </w:tcPr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506CFD" w:rsidRPr="002D4663" w:rsidRDefault="006361DB" w:rsidP="0036147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D4663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Střednědobá evaluace Strategického plánu LEADER </w:t>
            </w:r>
            <w:r w:rsidR="00361474" w:rsidRPr="002D4663">
              <w:rPr>
                <w:rFonts w:asciiTheme="minorHAnsi" w:hAnsiTheme="minorHAnsi" w:cstheme="minorHAnsi"/>
                <w:b/>
                <w:sz w:val="36"/>
                <w:szCs w:val="36"/>
              </w:rPr>
              <w:t>na období 2008 - 2013</w:t>
            </w:r>
          </w:p>
          <w:p w:rsidR="004104EF" w:rsidRPr="002D4663" w:rsidRDefault="004104EF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="00CA4448" w:rsidRPr="002D4663" w:rsidRDefault="00361474" w:rsidP="00CA4448">
            <w:pPr>
              <w:pStyle w:val="Textbody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D4663">
              <w:rPr>
                <w:rFonts w:asciiTheme="minorHAnsi" w:hAnsiTheme="minorHAnsi" w:cstheme="minorHAnsi"/>
                <w:sz w:val="40"/>
                <w:szCs w:val="40"/>
              </w:rPr>
              <w:t>k </w:t>
            </w:r>
            <w:proofErr w:type="gramStart"/>
            <w:r w:rsidRPr="002D4663">
              <w:rPr>
                <w:rFonts w:asciiTheme="minorHAnsi" w:hAnsiTheme="minorHAnsi" w:cstheme="minorHAnsi"/>
                <w:sz w:val="40"/>
                <w:szCs w:val="40"/>
              </w:rPr>
              <w:t>31.5.</w:t>
            </w:r>
            <w:r w:rsidR="00CA4448" w:rsidRPr="002D4663">
              <w:rPr>
                <w:rFonts w:asciiTheme="minorHAnsi" w:hAnsiTheme="minorHAnsi" w:cstheme="minorHAnsi"/>
                <w:sz w:val="40"/>
                <w:szCs w:val="40"/>
              </w:rPr>
              <w:t>2011</w:t>
            </w:r>
            <w:proofErr w:type="gramEnd"/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E30FC2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  <w:r w:rsidRPr="002D4663">
              <w:rPr>
                <w:rFonts w:asciiTheme="minorHAnsi" w:hAnsiTheme="minorHAnsi" w:cstheme="minorHAnsi"/>
                <w:b/>
              </w:rPr>
              <w:t xml:space="preserve">Zpracoval: Ing. </w:t>
            </w:r>
            <w:r w:rsidR="00361474" w:rsidRPr="002D4663">
              <w:rPr>
                <w:rFonts w:asciiTheme="minorHAnsi" w:hAnsiTheme="minorHAnsi" w:cstheme="minorHAnsi"/>
                <w:b/>
              </w:rPr>
              <w:t>Ondřej Neuman</w:t>
            </w:r>
            <w:r w:rsidRPr="002D4663">
              <w:rPr>
                <w:rFonts w:asciiTheme="minorHAnsi" w:hAnsiTheme="minorHAnsi" w:cstheme="minorHAnsi"/>
                <w:b/>
              </w:rPr>
              <w:t>, manažer pro realizaci SPL</w:t>
            </w:r>
          </w:p>
          <w:p w:rsidR="004104EF" w:rsidRPr="002D4663" w:rsidRDefault="00A300D2" w:rsidP="00B76F91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bookmarkStart w:id="0" w:name="_Toc288643205"/>
            <w:r w:rsidRPr="002D4663">
              <w:rPr>
                <w:rFonts w:asciiTheme="minorHAnsi" w:hAnsiTheme="minorHAnsi" w:cstheme="minorHAnsi"/>
              </w:rPr>
              <w:lastRenderedPageBreak/>
              <w:t>Úvod</w:t>
            </w:r>
            <w:bookmarkEnd w:id="0"/>
          </w:p>
          <w:p w:rsidR="00CA4448" w:rsidRPr="002D4663" w:rsidRDefault="00CA4448" w:rsidP="008A4759">
            <w:pPr>
              <w:pStyle w:val="Nadpis2"/>
              <w:rPr>
                <w:rFonts w:asciiTheme="minorHAnsi" w:hAnsiTheme="minorHAnsi" w:cstheme="minorHAnsi"/>
              </w:rPr>
            </w:pPr>
          </w:p>
          <w:p w:rsidR="00A300D2" w:rsidRPr="002D4663" w:rsidRDefault="00287E83" w:rsidP="008A4759">
            <w:pPr>
              <w:pStyle w:val="Nadpis2"/>
              <w:rPr>
                <w:rFonts w:asciiTheme="minorHAnsi" w:hAnsiTheme="minorHAnsi" w:cstheme="minorHAnsi"/>
              </w:rPr>
            </w:pPr>
            <w:bookmarkStart w:id="1" w:name="_Toc288643206"/>
            <w:r w:rsidRPr="002D4663">
              <w:rPr>
                <w:rFonts w:asciiTheme="minorHAnsi" w:hAnsiTheme="minorHAnsi" w:cstheme="minorHAnsi"/>
              </w:rPr>
              <w:t xml:space="preserve">Název MAS, právní forma: </w:t>
            </w:r>
            <w:r w:rsidR="00361474" w:rsidRPr="002D4663">
              <w:rPr>
                <w:rFonts w:asciiTheme="minorHAnsi" w:hAnsiTheme="minorHAnsi" w:cstheme="minorHAnsi"/>
              </w:rPr>
              <w:t>Místní akční skupina Rožnovsko</w:t>
            </w:r>
            <w:r w:rsidRPr="002D4663">
              <w:rPr>
                <w:rFonts w:asciiTheme="minorHAnsi" w:hAnsiTheme="minorHAnsi" w:cstheme="minorHAnsi"/>
              </w:rPr>
              <w:t>, o</w:t>
            </w:r>
            <w:bookmarkEnd w:id="1"/>
            <w:r w:rsidR="00361474" w:rsidRPr="002D4663">
              <w:rPr>
                <w:rFonts w:asciiTheme="minorHAnsi" w:hAnsiTheme="minorHAnsi" w:cstheme="minorHAnsi"/>
              </w:rPr>
              <w:t>bčanské sdružení</w:t>
            </w:r>
          </w:p>
          <w:p w:rsidR="00A300D2" w:rsidRPr="002D4663" w:rsidRDefault="00A300D2" w:rsidP="008A4759">
            <w:pPr>
              <w:pStyle w:val="Nadpis2"/>
              <w:rPr>
                <w:rFonts w:asciiTheme="minorHAnsi" w:hAnsiTheme="minorHAnsi" w:cstheme="minorHAnsi"/>
              </w:rPr>
            </w:pPr>
            <w:bookmarkStart w:id="2" w:name="_Toc288643207"/>
            <w:r w:rsidRPr="002D4663">
              <w:rPr>
                <w:rFonts w:asciiTheme="minorHAnsi" w:hAnsiTheme="minorHAnsi" w:cstheme="minorHAnsi"/>
              </w:rPr>
              <w:t>Datum podpisu Dohody se SZIF:</w:t>
            </w:r>
            <w:r w:rsidR="00361474" w:rsidRPr="002D4663">
              <w:rPr>
                <w:rFonts w:asciiTheme="minorHAnsi" w:hAnsiTheme="minorHAnsi" w:cstheme="minorHAnsi"/>
              </w:rPr>
              <w:t xml:space="preserve"> 12</w:t>
            </w:r>
            <w:r w:rsidR="00287E83" w:rsidRPr="002D4663">
              <w:rPr>
                <w:rFonts w:asciiTheme="minorHAnsi" w:hAnsiTheme="minorHAnsi" w:cstheme="minorHAnsi"/>
              </w:rPr>
              <w:t xml:space="preserve">. </w:t>
            </w:r>
            <w:r w:rsidR="00361474" w:rsidRPr="002D4663">
              <w:rPr>
                <w:rFonts w:asciiTheme="minorHAnsi" w:hAnsiTheme="minorHAnsi" w:cstheme="minorHAnsi"/>
              </w:rPr>
              <w:t>8</w:t>
            </w:r>
            <w:r w:rsidR="00287E83" w:rsidRPr="002D4663">
              <w:rPr>
                <w:rFonts w:asciiTheme="minorHAnsi" w:hAnsiTheme="minorHAnsi" w:cstheme="minorHAnsi"/>
              </w:rPr>
              <w:t>. 2009</w:t>
            </w:r>
            <w:bookmarkEnd w:id="2"/>
          </w:p>
          <w:p w:rsidR="004104EF" w:rsidRPr="002D4663" w:rsidRDefault="00A300D2" w:rsidP="008A4759">
            <w:pPr>
              <w:pStyle w:val="Nadpis2"/>
              <w:rPr>
                <w:rFonts w:asciiTheme="minorHAnsi" w:hAnsiTheme="minorHAnsi" w:cstheme="minorHAnsi"/>
              </w:rPr>
            </w:pPr>
            <w:bookmarkStart w:id="3" w:name="_Toc288643208"/>
            <w:r w:rsidRPr="002D4663">
              <w:rPr>
                <w:rFonts w:asciiTheme="minorHAnsi" w:hAnsiTheme="minorHAnsi" w:cstheme="minorHAnsi"/>
              </w:rPr>
              <w:t>Základní údaje:</w:t>
            </w:r>
            <w:bookmarkEnd w:id="3"/>
          </w:p>
          <w:tbl>
            <w:tblPr>
              <w:tblW w:w="9363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51"/>
              <w:gridCol w:w="2906"/>
              <w:gridCol w:w="2906"/>
            </w:tblGrid>
            <w:tr w:rsidR="00A300D2" w:rsidRPr="002D4663" w:rsidTr="00361474"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A300D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2906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461EE5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Původní stav</w:t>
                  </w:r>
                </w:p>
              </w:tc>
              <w:tc>
                <w:tcPr>
                  <w:tcW w:w="2906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461EE5" w:rsidP="00B76F91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Stav k </w:t>
                  </w: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</w:t>
                  </w:r>
                  <w:r w:rsidR="00B76F91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</w:t>
                  </w: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.</w:t>
                  </w:r>
                  <w:r w:rsidR="00361474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5</w:t>
                  </w: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.2011</w:t>
                  </w:r>
                  <w:proofErr w:type="gramEnd"/>
                </w:p>
              </w:tc>
            </w:tr>
            <w:tr w:rsidR="00A300D2" w:rsidRPr="002D4663" w:rsidTr="00361474"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4F6C52" w:rsidP="004F6C5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Počet obcí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</w:tr>
            <w:tr w:rsidR="00A300D2" w:rsidRPr="002D4663" w:rsidTr="00361474">
              <w:tc>
                <w:tcPr>
                  <w:tcW w:w="355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4F6C5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Počet obyvatel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19 951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20 967</w:t>
                  </w:r>
                </w:p>
              </w:tc>
            </w:tr>
            <w:tr w:rsidR="00A300D2" w:rsidRPr="002D4663" w:rsidTr="00361474"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4F6C5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Rozloha MAS (km2)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75267A" w:rsidP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  <w:r w:rsidR="00361474"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8,87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361474" w:rsidP="00B76F91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218,87</w:t>
                  </w:r>
                </w:p>
              </w:tc>
            </w:tr>
            <w:tr w:rsidR="00A300D2" w:rsidRPr="002D4663" w:rsidTr="00361474">
              <w:tc>
                <w:tcPr>
                  <w:tcW w:w="355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461EE5" w:rsidP="00461EE5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Počet členů</w:t>
                  </w:r>
                  <w:r w:rsidR="004F6C52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A300D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0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A300D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61EE5" w:rsidRPr="002D4663" w:rsidTr="00361474"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61EE5" w:rsidRPr="002D4663" w:rsidRDefault="00461EE5" w:rsidP="00461EE5">
                  <w:pPr>
                    <w:pStyle w:val="TableContents"/>
                    <w:snapToGrid w:val="0"/>
                    <w:ind w:left="1418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61EE5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61EE5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</w:tr>
            <w:tr w:rsidR="00A300D2" w:rsidRPr="002D4663" w:rsidTr="00361474"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4F6C52" w:rsidP="00461EE5">
                  <w:pPr>
                    <w:pStyle w:val="TableContents"/>
                    <w:snapToGrid w:val="0"/>
                    <w:ind w:left="1418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Veřejný sektor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300D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</w:tr>
            <w:tr w:rsidR="004F6C52" w:rsidRPr="002D4663" w:rsidTr="00361474">
              <w:tc>
                <w:tcPr>
                  <w:tcW w:w="355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6C52" w:rsidRPr="002D4663" w:rsidRDefault="004F6C52" w:rsidP="00461EE5">
                  <w:pPr>
                    <w:pStyle w:val="TableContents"/>
                    <w:snapToGrid w:val="0"/>
                    <w:ind w:left="1418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Neveřejný sektor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6C5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0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F6C52" w:rsidRPr="002D4663" w:rsidRDefault="0036147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06CFD" w:rsidRPr="002D4663" w:rsidRDefault="00506CFD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A300D2" w:rsidRPr="002D4663" w:rsidRDefault="006E2D85" w:rsidP="00CA4448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bookmarkStart w:id="4" w:name="_Toc288643209"/>
            <w:r w:rsidRPr="002D4663">
              <w:rPr>
                <w:rFonts w:asciiTheme="minorHAnsi" w:hAnsiTheme="minorHAnsi" w:cstheme="minorHAnsi"/>
              </w:rPr>
              <w:lastRenderedPageBreak/>
              <w:t xml:space="preserve">Popis SPL, </w:t>
            </w:r>
            <w:proofErr w:type="spellStart"/>
            <w:r w:rsidRPr="002D4663">
              <w:rPr>
                <w:rFonts w:asciiTheme="minorHAnsi" w:hAnsiTheme="minorHAnsi" w:cstheme="minorHAnsi"/>
              </w:rPr>
              <w:t>Fichí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a rozpočtu</w:t>
            </w:r>
            <w:bookmarkEnd w:id="4"/>
          </w:p>
          <w:p w:rsidR="006E2D85" w:rsidRPr="002D4663" w:rsidRDefault="006E2D85" w:rsidP="00616095">
            <w:pPr>
              <w:pStyle w:val="Nadpis2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bookmarkStart w:id="5" w:name="_Toc288643210"/>
            <w:r w:rsidRPr="002D4663">
              <w:rPr>
                <w:rFonts w:asciiTheme="minorHAnsi" w:hAnsiTheme="minorHAnsi" w:cstheme="minorHAnsi"/>
              </w:rPr>
              <w:t>Složení SPL</w:t>
            </w:r>
            <w:bookmarkEnd w:id="5"/>
          </w:p>
          <w:p w:rsidR="006E2D85" w:rsidRPr="002D4663" w:rsidRDefault="006E2D85" w:rsidP="008A4759">
            <w:pPr>
              <w:pStyle w:val="Nadpis3"/>
              <w:rPr>
                <w:rFonts w:asciiTheme="minorHAnsi" w:hAnsiTheme="minorHAnsi" w:cstheme="minorHAnsi"/>
              </w:rPr>
            </w:pPr>
            <w:bookmarkStart w:id="6" w:name="_Toc288643211"/>
            <w:r w:rsidRPr="002D4663">
              <w:rPr>
                <w:rFonts w:asciiTheme="minorHAnsi" w:hAnsiTheme="minorHAnsi" w:cstheme="minorHAnsi"/>
              </w:rPr>
              <w:t>Popis cílů</w:t>
            </w:r>
            <w:bookmarkEnd w:id="6"/>
          </w:p>
          <w:p w:rsidR="00D3579D" w:rsidRPr="002D4663" w:rsidRDefault="00D3579D" w:rsidP="00D3579D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</w:rPr>
            </w:pPr>
            <w:r w:rsidRPr="002D4663">
              <w:rPr>
                <w:rFonts w:asciiTheme="minorHAnsi" w:hAnsiTheme="minorHAnsi" w:cstheme="minorHAnsi"/>
                <w:color w:val="auto"/>
              </w:rPr>
              <w:t xml:space="preserve">Všeobecně lze říci, že nástrojem MAS k dosažení cílů Strategického plánu LEADER a naplňování prioritních os jsou jednotlivé </w:t>
            </w:r>
            <w:proofErr w:type="spellStart"/>
            <w:r w:rsidRPr="002D4663">
              <w:rPr>
                <w:rFonts w:asciiTheme="minorHAnsi" w:hAnsiTheme="minorHAnsi" w:cstheme="minorHAnsi"/>
                <w:color w:val="auto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  <w:color w:val="auto"/>
              </w:rPr>
              <w:t xml:space="preserve">. V nich jsou již cíle MAS zasazeny do reálného a proveditelného rámce s jasně stanovenými pravidly, postupy a kritérii, které respektují definované prioritní oblasti. Pro účely naplnění Strategického plánu LEADER z Programu rozvoje venkova v období 2008-13 sestavila MAS 3 priority a 6 </w:t>
            </w:r>
            <w:proofErr w:type="spellStart"/>
            <w:r w:rsidRPr="002D4663">
              <w:rPr>
                <w:rFonts w:asciiTheme="minorHAnsi" w:hAnsiTheme="minorHAnsi" w:cstheme="minorHAnsi"/>
                <w:color w:val="auto"/>
              </w:rPr>
              <w:t>fichí</w:t>
            </w:r>
            <w:proofErr w:type="spellEnd"/>
            <w:r w:rsidRPr="002D4663">
              <w:rPr>
                <w:rFonts w:asciiTheme="minorHAnsi" w:hAnsiTheme="minorHAnsi" w:cstheme="minorHAnsi"/>
                <w:color w:val="auto"/>
              </w:rPr>
              <w:t xml:space="preserve">.  </w:t>
            </w:r>
          </w:p>
          <w:p w:rsidR="006E2D85" w:rsidRPr="002D4663" w:rsidRDefault="006E2D85" w:rsidP="008A4759">
            <w:pPr>
              <w:pStyle w:val="Nadpis3"/>
              <w:rPr>
                <w:rFonts w:asciiTheme="minorHAnsi" w:hAnsiTheme="minorHAnsi" w:cstheme="minorHAnsi"/>
              </w:rPr>
            </w:pPr>
            <w:bookmarkStart w:id="7" w:name="_Toc288643212"/>
            <w:r w:rsidRPr="002D4663">
              <w:rPr>
                <w:rFonts w:asciiTheme="minorHAnsi" w:hAnsiTheme="minorHAnsi" w:cstheme="minorHAnsi"/>
              </w:rPr>
              <w:t>Popis priorit</w:t>
            </w:r>
            <w:bookmarkEnd w:id="7"/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color w:val="auto"/>
              </w:rPr>
            </w:pPr>
            <w:r w:rsidRPr="002D4663">
              <w:rPr>
                <w:rFonts w:asciiTheme="minorHAnsi" w:hAnsiTheme="minorHAnsi" w:cstheme="minorHAnsi"/>
                <w:color w:val="auto"/>
              </w:rPr>
              <w:t>Místní akční skupina Rožnovsko má stanoveny 3 základní priority.</w:t>
            </w: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  <w:b/>
                <w:i/>
              </w:rPr>
            </w:pP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2D4663">
              <w:rPr>
                <w:rFonts w:asciiTheme="minorHAnsi" w:hAnsiTheme="minorHAnsi" w:cstheme="minorHAnsi"/>
                <w:b/>
                <w:i/>
                <w:color w:val="auto"/>
              </w:rPr>
              <w:t>Priorita č. 1 - Zlepšování podmínek pro rozvoj cestovního ruchu</w:t>
            </w: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color w:val="auto"/>
              </w:rPr>
            </w:pPr>
            <w:r w:rsidRPr="002D4663">
              <w:rPr>
                <w:rFonts w:asciiTheme="minorHAnsi" w:hAnsiTheme="minorHAnsi" w:cstheme="minorHAnsi"/>
                <w:color w:val="auto"/>
              </w:rPr>
              <w:t>Cíl priority:</w:t>
            </w:r>
          </w:p>
          <w:p w:rsidR="00D3579D" w:rsidRPr="002D4663" w:rsidRDefault="00D3579D" w:rsidP="00D3579D">
            <w:pPr>
              <w:widowControl/>
              <w:numPr>
                <w:ilvl w:val="0"/>
                <w:numId w:val="4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Využití výhod a předností území Rožnovska k posílení konkurenceschopnosti regionu</w:t>
            </w:r>
          </w:p>
          <w:p w:rsidR="00D3579D" w:rsidRPr="002D4663" w:rsidRDefault="00D3579D" w:rsidP="00D3579D">
            <w:pPr>
              <w:widowControl/>
              <w:numPr>
                <w:ilvl w:val="0"/>
                <w:numId w:val="4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Zvýšení potenciálu a atraktivity Rožnovska pro turisty a návštěvníky</w:t>
            </w:r>
          </w:p>
          <w:p w:rsidR="00D3579D" w:rsidRPr="002D4663" w:rsidRDefault="00D3579D" w:rsidP="00D3579D">
            <w:pPr>
              <w:pStyle w:val="Textbody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</w:rPr>
            </w:pPr>
            <w:r w:rsidRPr="002D4663">
              <w:rPr>
                <w:rFonts w:asciiTheme="minorHAnsi" w:hAnsiTheme="minorHAnsi" w:cstheme="minorHAnsi"/>
                <w:color w:val="auto"/>
              </w:rPr>
              <w:t>Zvýšení kvality služeb pro obyvatele</w:t>
            </w: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2D4663">
              <w:rPr>
                <w:rFonts w:asciiTheme="minorHAnsi" w:hAnsiTheme="minorHAnsi" w:cstheme="minorHAnsi"/>
                <w:b/>
                <w:i/>
              </w:rPr>
              <w:t>Priorita č. 2 – Podpora drobného zemědělství, lesnictví a zachování tradičního rázu krajiny</w:t>
            </w: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color w:val="auto"/>
              </w:rPr>
            </w:pP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color w:val="auto"/>
              </w:rPr>
            </w:pPr>
            <w:r w:rsidRPr="002D4663">
              <w:rPr>
                <w:rFonts w:asciiTheme="minorHAnsi" w:hAnsiTheme="minorHAnsi" w:cstheme="minorHAnsi"/>
                <w:color w:val="auto"/>
              </w:rPr>
              <w:t>Cíl priority:</w:t>
            </w:r>
          </w:p>
          <w:p w:rsidR="00D3579D" w:rsidRPr="002D4663" w:rsidRDefault="00D3579D" w:rsidP="00D3579D">
            <w:pPr>
              <w:widowControl/>
              <w:numPr>
                <w:ilvl w:val="0"/>
                <w:numId w:val="1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Zlepšovat ekonomickou výkonnost a konkurenceschopnost podniků lepším využitím produk</w:t>
            </w:r>
            <w:r w:rsidRPr="002D4663">
              <w:rPr>
                <w:rFonts w:asciiTheme="minorHAnsi" w:hAnsiTheme="minorHAnsi" w:cstheme="minorHAnsi"/>
              </w:rPr>
              <w:t>č</w:t>
            </w:r>
            <w:r w:rsidRPr="002D4663">
              <w:rPr>
                <w:rFonts w:asciiTheme="minorHAnsi" w:hAnsiTheme="minorHAnsi" w:cstheme="minorHAnsi"/>
              </w:rPr>
              <w:t>ních faktorů, rozvojem technického potenciálu, inovacemi a zlepšeným zpracováním a mark</w:t>
            </w:r>
            <w:r w:rsidRPr="002D4663">
              <w:rPr>
                <w:rFonts w:asciiTheme="minorHAnsi" w:hAnsiTheme="minorHAnsi" w:cstheme="minorHAnsi"/>
              </w:rPr>
              <w:t>e</w:t>
            </w:r>
            <w:r w:rsidRPr="002D4663">
              <w:rPr>
                <w:rFonts w:asciiTheme="minorHAnsi" w:hAnsiTheme="minorHAnsi" w:cstheme="minorHAnsi"/>
              </w:rPr>
              <w:t>tingem surovin a produktů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2D4663">
              <w:rPr>
                <w:rFonts w:asciiTheme="minorHAnsi" w:hAnsiTheme="minorHAnsi" w:cstheme="minorHAnsi"/>
                <w:b/>
                <w:i/>
              </w:rPr>
              <w:t>Priorita č. 3 – Trvale udržitelný život na venkově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/>
                <w:i/>
              </w:rPr>
            </w:pP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color w:val="auto"/>
              </w:rPr>
            </w:pPr>
            <w:r w:rsidRPr="002D4663">
              <w:rPr>
                <w:rFonts w:asciiTheme="minorHAnsi" w:hAnsiTheme="minorHAnsi" w:cstheme="minorHAnsi"/>
                <w:color w:val="auto"/>
              </w:rPr>
              <w:t>Cíl priority:</w:t>
            </w:r>
          </w:p>
          <w:p w:rsidR="00D3579D" w:rsidRPr="002D4663" w:rsidRDefault="00D3579D" w:rsidP="00D3579D">
            <w:pPr>
              <w:widowControl/>
              <w:numPr>
                <w:ilvl w:val="0"/>
                <w:numId w:val="1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Zvýšení kvality života a atraktivity Rožnovska rozvojem služeb pro obyvatele a zlepšením vzhledu obcí</w:t>
            </w:r>
          </w:p>
          <w:p w:rsidR="00D3579D" w:rsidRPr="002D4663" w:rsidRDefault="00D3579D" w:rsidP="00D3579D">
            <w:pPr>
              <w:widowControl/>
              <w:numPr>
                <w:ilvl w:val="0"/>
                <w:numId w:val="1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Podpora rozvoje občanské společnosti v obcích Rožnovska</w:t>
            </w:r>
          </w:p>
          <w:p w:rsidR="00D3579D" w:rsidRPr="002D4663" w:rsidRDefault="00D3579D" w:rsidP="00D3579D">
            <w:pPr>
              <w:widowControl/>
              <w:numPr>
                <w:ilvl w:val="0"/>
                <w:numId w:val="15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lastRenderedPageBreak/>
              <w:t>Rozvoj cestovního ruchu s využitím předností a specifik Rožnovska založeným na kvalitním a zdravém životním prostředí a „Valašské pohodě“</w:t>
            </w:r>
          </w:p>
          <w:p w:rsidR="00CA65F9" w:rsidRPr="002D4663" w:rsidRDefault="00CA65F9">
            <w:pPr>
              <w:pStyle w:val="Textbody"/>
              <w:rPr>
                <w:rFonts w:asciiTheme="minorHAnsi" w:hAnsiTheme="minorHAnsi" w:cstheme="minorHAnsi"/>
              </w:rPr>
            </w:pPr>
          </w:p>
          <w:p w:rsidR="006E2D85" w:rsidRPr="002D4663" w:rsidRDefault="006E2D85" w:rsidP="008A4759">
            <w:pPr>
              <w:pStyle w:val="Nadpis3"/>
              <w:rPr>
                <w:rFonts w:asciiTheme="minorHAnsi" w:hAnsiTheme="minorHAnsi" w:cstheme="minorHAnsi"/>
              </w:rPr>
            </w:pPr>
            <w:bookmarkStart w:id="8" w:name="_Toc288643213"/>
            <w:r w:rsidRPr="002D4663">
              <w:rPr>
                <w:rFonts w:asciiTheme="minorHAnsi" w:hAnsiTheme="minorHAnsi" w:cstheme="minorHAnsi"/>
              </w:rPr>
              <w:t xml:space="preserve">Popis </w:t>
            </w:r>
            <w:proofErr w:type="spellStart"/>
            <w:r w:rsidRPr="002D4663">
              <w:rPr>
                <w:rFonts w:asciiTheme="minorHAnsi" w:hAnsiTheme="minorHAnsi" w:cstheme="minorHAnsi"/>
              </w:rPr>
              <w:t>Fichí</w:t>
            </w:r>
            <w:bookmarkEnd w:id="8"/>
            <w:proofErr w:type="spellEnd"/>
          </w:p>
          <w:p w:rsidR="00D3579D" w:rsidRPr="002D4663" w:rsidRDefault="00D3579D" w:rsidP="00D3579D">
            <w:pPr>
              <w:pStyle w:val="Textbody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2D4663">
              <w:rPr>
                <w:rFonts w:asciiTheme="minorHAnsi" w:hAnsiTheme="minorHAnsi" w:cstheme="minorHAnsi"/>
                <w:b/>
                <w:color w:val="auto"/>
              </w:rPr>
              <w:t>FICHE 1 – Rozvoj zemědělských podniků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je zaměřena na investice do zemědělských staveb a technologií (rekonstrukce a výstavba nových staveb), </w:t>
            </w:r>
            <w:proofErr w:type="spellStart"/>
            <w:r w:rsidRPr="002D4663">
              <w:rPr>
                <w:rFonts w:asciiTheme="minorHAnsi" w:hAnsiTheme="minorHAnsi" w:cstheme="minorHAnsi"/>
              </w:rPr>
              <w:t>včetne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nezbytných manipulačních ploch pro živočišnou a rostlinnou výrobu. </w:t>
            </w:r>
            <w:proofErr w:type="spellStart"/>
            <w:r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je dále zam</w:t>
            </w:r>
            <w:r w:rsidRPr="002D4663">
              <w:rPr>
                <w:rFonts w:asciiTheme="minorHAnsi" w:hAnsiTheme="minorHAnsi" w:cstheme="minorHAnsi"/>
              </w:rPr>
              <w:t>ě</w:t>
            </w:r>
            <w:r w:rsidRPr="002D4663">
              <w:rPr>
                <w:rFonts w:asciiTheme="minorHAnsi" w:hAnsiTheme="minorHAnsi" w:cstheme="minorHAnsi"/>
              </w:rPr>
              <w:t>řena na využití a zpracování biomasy pro vlastní potřebu.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:rsidR="00D3579D" w:rsidRPr="002D4663" w:rsidRDefault="00D3579D" w:rsidP="00D3579D">
            <w:pPr>
              <w:pStyle w:val="Textbody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2D4663">
              <w:rPr>
                <w:rFonts w:asciiTheme="minorHAnsi" w:hAnsiTheme="minorHAnsi" w:cstheme="minorHAnsi"/>
                <w:b/>
                <w:color w:val="auto"/>
              </w:rPr>
              <w:t xml:space="preserve">FICHE 2 – Obnova a rozvoj vesnic, infrastruktura 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je zaměřena zejména na podporu obcí v oblasti základní dopravní a technické infrastruktury včetně vodohospodářské, zajištění územních plánů a zlepšení vzhledu obcí a tím zlepšení životních podmínek a zvýšení atraktivity vesnic pro bydlení, podnikání i relaxaci. Hlavní záměry:</w:t>
            </w:r>
          </w:p>
          <w:p w:rsidR="00D3579D" w:rsidRPr="002D4663" w:rsidRDefault="00D3579D" w:rsidP="00D3579D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2D4663">
              <w:rPr>
                <w:rFonts w:asciiTheme="minorHAnsi" w:hAnsiTheme="minorHAnsi" w:cstheme="minorHAnsi"/>
                <w:szCs w:val="24"/>
              </w:rPr>
              <w:t>zlepšení dopravní a technické infrastruktury a vzhledu obcí</w:t>
            </w:r>
          </w:p>
          <w:p w:rsidR="00D3579D" w:rsidRPr="002D4663" w:rsidRDefault="00D3579D" w:rsidP="00D3579D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2D4663">
              <w:rPr>
                <w:rFonts w:asciiTheme="minorHAnsi" w:hAnsiTheme="minorHAnsi" w:cstheme="minorHAnsi"/>
                <w:szCs w:val="24"/>
              </w:rPr>
              <w:t>vodovody, kanalizace a ČOV pro veřejnou potřebu</w:t>
            </w:r>
          </w:p>
          <w:p w:rsidR="00D3579D" w:rsidRPr="002D4663" w:rsidRDefault="00D3579D" w:rsidP="00D3579D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2D4663">
              <w:rPr>
                <w:rFonts w:asciiTheme="minorHAnsi" w:hAnsiTheme="minorHAnsi" w:cstheme="minorHAnsi"/>
                <w:szCs w:val="24"/>
              </w:rPr>
              <w:t>územní plán.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kern w:val="0"/>
                <w:sz w:val="23"/>
                <w:szCs w:val="23"/>
                <w:lang w:bidi="ar-SA"/>
              </w:rPr>
            </w:pPr>
          </w:p>
          <w:p w:rsidR="00D3579D" w:rsidRPr="002D4663" w:rsidRDefault="00D3579D" w:rsidP="00D3579D">
            <w:pPr>
              <w:pStyle w:val="Textbody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2D4663">
              <w:rPr>
                <w:rFonts w:asciiTheme="minorHAnsi" w:hAnsiTheme="minorHAnsi" w:cstheme="minorHAnsi"/>
                <w:b/>
                <w:color w:val="auto"/>
              </w:rPr>
              <w:t>FICHE 3 – Podpora cestovního ruchu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je zaměřena na rozvoj aktivit v rámci rozvoje venkovské ekonomiky směrem k činnostem v cesto</w:t>
            </w:r>
            <w:r w:rsidRPr="002D4663">
              <w:rPr>
                <w:rFonts w:asciiTheme="minorHAnsi" w:hAnsiTheme="minorHAnsi" w:cstheme="minorHAnsi"/>
              </w:rPr>
              <w:t>v</w:t>
            </w:r>
            <w:r w:rsidRPr="002D4663">
              <w:rPr>
                <w:rFonts w:asciiTheme="minorHAnsi" w:hAnsiTheme="minorHAnsi" w:cstheme="minorHAnsi"/>
              </w:rPr>
              <w:t>ním ruchu (především venkovské turistice), zejména na využití potenciálu zemědělských farem v oblasti agroturistiky.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V rámci záměru a) je dotace určena na vybudování peších a lyžařských tras, </w:t>
            </w:r>
            <w:proofErr w:type="spellStart"/>
            <w:r w:rsidRPr="002D4663">
              <w:rPr>
                <w:rFonts w:asciiTheme="minorHAnsi" w:hAnsiTheme="minorHAnsi" w:cstheme="minorHAnsi"/>
              </w:rPr>
              <w:t>hippostezek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mimo území lesů.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V rámci záměru b) bude podporována zejména výstavba malokapacitních ubytovacích a stravovacích zařízení, půjčoven sportovního vybavení a objektů a ploch pro sportovně rekreační vyžití. 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</w:rPr>
            </w:pPr>
          </w:p>
          <w:p w:rsidR="00D3579D" w:rsidRPr="002D4663" w:rsidRDefault="00D3579D" w:rsidP="00D3579D">
            <w:pPr>
              <w:pStyle w:val="Textbody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2D4663">
              <w:rPr>
                <w:rFonts w:asciiTheme="minorHAnsi" w:hAnsiTheme="minorHAnsi" w:cstheme="minorHAnsi"/>
                <w:b/>
                <w:color w:val="auto"/>
              </w:rPr>
              <w:t xml:space="preserve">FICHE 4 – Podpora podnikání v regionu </w:t>
            </w: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b/>
                <w:color w:val="auto"/>
              </w:rPr>
            </w:pPr>
          </w:p>
          <w:p w:rsidR="00D3579D" w:rsidRPr="002D4663" w:rsidRDefault="00D3579D" w:rsidP="001261F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je zaměřena na podporu zakládání nových a rozvoj existujících podniků nejmenší velikosti – </w:t>
            </w:r>
            <w:proofErr w:type="spellStart"/>
            <w:r w:rsidRPr="002D4663">
              <w:rPr>
                <w:rFonts w:asciiTheme="minorHAnsi" w:hAnsiTheme="minorHAnsi" w:cstheme="minorHAnsi"/>
              </w:rPr>
              <w:t>mikr</w:t>
            </w:r>
            <w:r w:rsidRPr="002D4663">
              <w:rPr>
                <w:rFonts w:asciiTheme="minorHAnsi" w:hAnsiTheme="minorHAnsi" w:cstheme="minorHAnsi"/>
              </w:rPr>
              <w:t>o</w:t>
            </w:r>
            <w:r w:rsidRPr="002D4663">
              <w:rPr>
                <w:rFonts w:asciiTheme="minorHAnsi" w:hAnsiTheme="minorHAnsi" w:cstheme="minorHAnsi"/>
              </w:rPr>
              <w:t>podniků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D4663">
              <w:rPr>
                <w:rFonts w:asciiTheme="minorHAnsi" w:hAnsiTheme="minorHAnsi" w:cstheme="minorHAnsi"/>
              </w:rPr>
              <w:t>včetne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nových živností v oblasti výroby a zpracování. Cílem opatření je především vytváření</w:t>
            </w:r>
          </w:p>
          <w:p w:rsidR="00D3579D" w:rsidRPr="002D4663" w:rsidRDefault="00D3579D" w:rsidP="001261F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nových pracovních míst a rozvoj hospodářské struktury nezemědělských aktivit. </w:t>
            </w:r>
          </w:p>
          <w:p w:rsidR="00D3579D" w:rsidRPr="002D4663" w:rsidRDefault="00D3579D" w:rsidP="001261F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Podpora je určena v rámci záměru a) na zakládání nových </w:t>
            </w:r>
            <w:proofErr w:type="spellStart"/>
            <w:r w:rsidRPr="002D4663">
              <w:rPr>
                <w:rFonts w:asciiTheme="minorHAnsi" w:hAnsiTheme="minorHAnsi" w:cstheme="minorHAnsi"/>
              </w:rPr>
              <w:t>mikropodniků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v oblasti výroby, rozvoj aktivit se zaměřením na oblast doplňkové a řemeslné výroby.</w:t>
            </w:r>
          </w:p>
          <w:p w:rsidR="00D3579D" w:rsidRPr="002D4663" w:rsidRDefault="00D3579D" w:rsidP="00D3579D">
            <w:pPr>
              <w:pStyle w:val="Textbody"/>
              <w:rPr>
                <w:rFonts w:asciiTheme="minorHAnsi" w:hAnsiTheme="minorHAnsi" w:cstheme="minorHAnsi"/>
                <w:b/>
                <w:color w:val="auto"/>
              </w:rPr>
            </w:pPr>
          </w:p>
          <w:p w:rsidR="00D3579D" w:rsidRPr="002D4663" w:rsidRDefault="00D3579D" w:rsidP="00D3579D">
            <w:pPr>
              <w:pStyle w:val="Textbody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2D4663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FICHE 5 – Rozvoj obcí, občanská infrastruktura </w:t>
            </w:r>
          </w:p>
          <w:p w:rsidR="001261FA" w:rsidRPr="002D4663" w:rsidRDefault="001261FA" w:rsidP="001261F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je zaměřena na zajištění občanského vybavení a služeb v obcích v oblasti veřejné správy, školství, zdravotnictví, kultury a sociálních služeb, spolkových činností, předškolní a </w:t>
            </w:r>
            <w:proofErr w:type="gramStart"/>
            <w:r w:rsidRPr="002D4663">
              <w:rPr>
                <w:rFonts w:asciiTheme="minorHAnsi" w:hAnsiTheme="minorHAnsi" w:cstheme="minorHAnsi"/>
              </w:rPr>
              <w:t>mimoškolní  péče</w:t>
            </w:r>
            <w:proofErr w:type="gramEnd"/>
            <w:r w:rsidRPr="002D4663">
              <w:rPr>
                <w:rFonts w:asciiTheme="minorHAnsi" w:hAnsiTheme="minorHAnsi" w:cstheme="minorHAnsi"/>
              </w:rPr>
              <w:t xml:space="preserve"> o děti, z</w:t>
            </w:r>
            <w:r w:rsidRPr="002D4663">
              <w:rPr>
                <w:rFonts w:asciiTheme="minorHAnsi" w:hAnsiTheme="minorHAnsi" w:cstheme="minorHAnsi"/>
              </w:rPr>
              <w:t>á</w:t>
            </w:r>
            <w:r w:rsidRPr="002D4663">
              <w:rPr>
                <w:rFonts w:asciiTheme="minorHAnsi" w:hAnsiTheme="minorHAnsi" w:cstheme="minorHAnsi"/>
              </w:rPr>
              <w:t>kladní obchodní infrastruktury, tělovýchovy a sportu. Dotace bude poskytnuta také na zřizování integr</w:t>
            </w:r>
            <w:r w:rsidRPr="002D4663">
              <w:rPr>
                <w:rFonts w:asciiTheme="minorHAnsi" w:hAnsiTheme="minorHAnsi" w:cstheme="minorHAnsi"/>
              </w:rPr>
              <w:t>o</w:t>
            </w:r>
            <w:r w:rsidRPr="002D4663">
              <w:rPr>
                <w:rFonts w:asciiTheme="minorHAnsi" w:hAnsiTheme="minorHAnsi" w:cstheme="minorHAnsi"/>
              </w:rPr>
              <w:t>vaných informačních a školících center s využíváním ICT. V zájmu posílení sounáležitosti místních obyv</w:t>
            </w:r>
            <w:r w:rsidRPr="002D4663">
              <w:rPr>
                <w:rFonts w:asciiTheme="minorHAnsi" w:hAnsiTheme="minorHAnsi" w:cstheme="minorHAnsi"/>
              </w:rPr>
              <w:t>a</w:t>
            </w:r>
            <w:r w:rsidRPr="002D4663">
              <w:rPr>
                <w:rFonts w:asciiTheme="minorHAnsi" w:hAnsiTheme="minorHAnsi" w:cstheme="minorHAnsi"/>
              </w:rPr>
              <w:t>tel s místním prostředím je podpora zaměřena také na zajištění zázemí pro aktivity místních společe</w:t>
            </w:r>
            <w:r w:rsidRPr="002D4663">
              <w:rPr>
                <w:rFonts w:asciiTheme="minorHAnsi" w:hAnsiTheme="minorHAnsi" w:cstheme="minorHAnsi"/>
              </w:rPr>
              <w:t>n</w:t>
            </w:r>
            <w:r w:rsidRPr="002D4663">
              <w:rPr>
                <w:rFonts w:asciiTheme="minorHAnsi" w:hAnsiTheme="minorHAnsi" w:cstheme="minorHAnsi"/>
              </w:rPr>
              <w:t>ských, kulturních, zájmových a sportovních organizací a spolku a církví a jejich organizací, které přispívají k zachování tradic a upevňují lokální identitu a mezilidské vztahy.</w:t>
            </w:r>
          </w:p>
          <w:p w:rsidR="001261FA" w:rsidRPr="002D4663" w:rsidRDefault="001261FA" w:rsidP="001261F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kern w:val="0"/>
                <w:sz w:val="23"/>
                <w:szCs w:val="23"/>
                <w:lang w:bidi="ar-SA"/>
              </w:rPr>
            </w:pPr>
          </w:p>
          <w:p w:rsidR="00D3579D" w:rsidRPr="002D4663" w:rsidRDefault="00D3579D" w:rsidP="00D3579D">
            <w:pPr>
              <w:pStyle w:val="Textbody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2D4663">
              <w:rPr>
                <w:rFonts w:asciiTheme="minorHAnsi" w:hAnsiTheme="minorHAnsi" w:cstheme="minorHAnsi"/>
                <w:b/>
                <w:color w:val="auto"/>
              </w:rPr>
              <w:t>FICHE 6 – Investice do lesů</w:t>
            </w:r>
          </w:p>
          <w:p w:rsidR="00D3579D" w:rsidRPr="002D4663" w:rsidRDefault="00D3579D" w:rsidP="00D3579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je zaměřena na výstavbu, modernizaci, rekonstrukci a celkové opravy lesních cest, vč. souvisejících objektů, zařízení upravujících vodní režim v lesích, vč. souvisejících objektů a ostatních infrastrukturních objektů a zařízení sloužících lesnímu hospodářství.</w:t>
            </w:r>
          </w:p>
          <w:p w:rsidR="007C4D6D" w:rsidRPr="002D4663" w:rsidRDefault="007C4D6D" w:rsidP="007C4D6D">
            <w:pPr>
              <w:pStyle w:val="Textbody"/>
              <w:rPr>
                <w:rFonts w:asciiTheme="minorHAnsi" w:hAnsiTheme="minorHAnsi" w:cstheme="minorHAnsi"/>
              </w:rPr>
            </w:pPr>
          </w:p>
          <w:p w:rsidR="006E2D85" w:rsidRPr="002D4663" w:rsidRDefault="006E2D85" w:rsidP="00F03AF7">
            <w:pPr>
              <w:pStyle w:val="Nadpis3"/>
              <w:rPr>
                <w:rFonts w:asciiTheme="minorHAnsi" w:hAnsiTheme="minorHAnsi" w:cstheme="minorHAnsi"/>
              </w:rPr>
            </w:pPr>
            <w:bookmarkStart w:id="9" w:name="_Toc288643214"/>
            <w:r w:rsidRPr="002D4663">
              <w:rPr>
                <w:rFonts w:asciiTheme="minorHAnsi" w:hAnsiTheme="minorHAnsi" w:cstheme="minorHAnsi"/>
              </w:rPr>
              <w:t>Počet aktualizací SPL, k </w:t>
            </w:r>
            <w:proofErr w:type="gramStart"/>
            <w:r w:rsidRPr="002D4663">
              <w:rPr>
                <w:rFonts w:asciiTheme="minorHAnsi" w:hAnsiTheme="minorHAnsi" w:cstheme="minorHAnsi"/>
              </w:rPr>
              <w:t>jakému</w:t>
            </w:r>
            <w:proofErr w:type="gramEnd"/>
            <w:r w:rsidRPr="002D4663">
              <w:rPr>
                <w:rFonts w:asciiTheme="minorHAnsi" w:hAnsiTheme="minorHAnsi" w:cstheme="minorHAnsi"/>
              </w:rPr>
              <w:t xml:space="preserve"> datu byl SPL aktualizován, popis změn</w:t>
            </w:r>
            <w:bookmarkEnd w:id="9"/>
          </w:p>
          <w:p w:rsidR="00082E93" w:rsidRPr="002D4663" w:rsidRDefault="00082E93" w:rsidP="00082E9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V loňském roce došlo </w:t>
            </w:r>
            <w:r w:rsidR="00DA2C4B" w:rsidRPr="002D4663">
              <w:rPr>
                <w:rFonts w:asciiTheme="minorHAnsi" w:hAnsiTheme="minorHAnsi" w:cstheme="minorHAnsi"/>
              </w:rPr>
              <w:t xml:space="preserve">k aktualizaci </w:t>
            </w:r>
            <w:proofErr w:type="spellStart"/>
            <w:r w:rsidR="00DA2C4B" w:rsidRPr="002D4663">
              <w:rPr>
                <w:rFonts w:asciiTheme="minorHAnsi" w:hAnsiTheme="minorHAnsi" w:cstheme="minorHAnsi"/>
              </w:rPr>
              <w:t>Fichí</w:t>
            </w:r>
            <w:proofErr w:type="spellEnd"/>
            <w:r w:rsidR="00DA2C4B" w:rsidRPr="002D4663">
              <w:rPr>
                <w:rFonts w:asciiTheme="minorHAnsi" w:hAnsiTheme="minorHAnsi" w:cstheme="minorHAnsi"/>
              </w:rPr>
              <w:t xml:space="preserve">. </w:t>
            </w:r>
            <w:r w:rsidR="001261FA" w:rsidRPr="002D4663">
              <w:rPr>
                <w:rFonts w:asciiTheme="minorHAnsi" w:hAnsiTheme="minorHAnsi" w:cstheme="minorHAnsi"/>
              </w:rPr>
              <w:t>Došlu k </w:t>
            </w:r>
            <w:proofErr w:type="spellStart"/>
            <w:r w:rsidR="001261FA" w:rsidRPr="002D4663">
              <w:rPr>
                <w:rFonts w:asciiTheme="minorHAnsi" w:hAnsiTheme="minorHAnsi" w:cstheme="minorHAnsi"/>
              </w:rPr>
              <w:t>ostranění</w:t>
            </w:r>
            <w:proofErr w:type="spellEnd"/>
            <w:r w:rsidR="001261FA" w:rsidRPr="002D4663">
              <w:rPr>
                <w:rFonts w:asciiTheme="minorHAnsi" w:hAnsiTheme="minorHAnsi" w:cstheme="minorHAnsi"/>
              </w:rPr>
              <w:t xml:space="preserve"> vedlejšího opatření u </w:t>
            </w:r>
            <w:proofErr w:type="spellStart"/>
            <w:r w:rsidR="001261FA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1261FA" w:rsidRPr="002D4663">
              <w:rPr>
                <w:rFonts w:asciiTheme="minorHAnsi" w:hAnsiTheme="minorHAnsi" w:cstheme="minorHAnsi"/>
              </w:rPr>
              <w:t xml:space="preserve"> 1 a odstranění záměru b, c, d u </w:t>
            </w:r>
            <w:proofErr w:type="spellStart"/>
            <w:r w:rsidR="001261FA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1261FA" w:rsidRPr="002D4663">
              <w:rPr>
                <w:rFonts w:asciiTheme="minorHAnsi" w:hAnsiTheme="minorHAnsi" w:cstheme="minorHAnsi"/>
              </w:rPr>
              <w:t xml:space="preserve"> 4. U </w:t>
            </w:r>
            <w:proofErr w:type="spellStart"/>
            <w:r w:rsidR="001261FA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1261FA" w:rsidRPr="002D4663">
              <w:rPr>
                <w:rFonts w:asciiTheme="minorHAnsi" w:hAnsiTheme="minorHAnsi" w:cstheme="minorHAnsi"/>
              </w:rPr>
              <w:t xml:space="preserve"> 1 tímto došlo k navýšení míry dotace o 10% a </w:t>
            </w:r>
            <w:proofErr w:type="spellStart"/>
            <w:r w:rsidR="001261FA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1261FA" w:rsidRPr="002D4663">
              <w:rPr>
                <w:rFonts w:asciiTheme="minorHAnsi" w:hAnsiTheme="minorHAnsi" w:cstheme="minorHAnsi"/>
              </w:rPr>
              <w:t xml:space="preserve"> 4 byla díky aktualizaci zpřehledněna. </w:t>
            </w:r>
            <w:r w:rsidRPr="002D4663">
              <w:rPr>
                <w:rFonts w:asciiTheme="minorHAnsi" w:hAnsiTheme="minorHAnsi" w:cstheme="minorHAnsi"/>
              </w:rPr>
              <w:t>V letošním roce je naplánovaná aktualizace celého strategického plánu</w:t>
            </w:r>
            <w:r w:rsidR="00DA2C4B" w:rsidRPr="002D4663">
              <w:rPr>
                <w:rFonts w:asciiTheme="minorHAnsi" w:hAnsiTheme="minorHAnsi" w:cstheme="minorHAnsi"/>
              </w:rPr>
              <w:t xml:space="preserve"> LEADER</w:t>
            </w:r>
            <w:r w:rsidRPr="002D4663">
              <w:rPr>
                <w:rFonts w:asciiTheme="minorHAnsi" w:hAnsiTheme="minorHAnsi" w:cstheme="minorHAnsi"/>
              </w:rPr>
              <w:t xml:space="preserve">, včetně úpravy </w:t>
            </w:r>
            <w:proofErr w:type="spellStart"/>
            <w:r w:rsidRPr="002D4663">
              <w:rPr>
                <w:rFonts w:asciiTheme="minorHAnsi" w:hAnsiTheme="minorHAnsi" w:cstheme="minorHAnsi"/>
              </w:rPr>
              <w:t>Fichí</w:t>
            </w:r>
            <w:proofErr w:type="spellEnd"/>
            <w:r w:rsidR="00DA2C4B" w:rsidRPr="002D4663">
              <w:rPr>
                <w:rFonts w:asciiTheme="minorHAnsi" w:hAnsiTheme="minorHAnsi" w:cstheme="minorHAnsi"/>
              </w:rPr>
              <w:t xml:space="preserve"> i monitorovacích indikátorů SPL.</w:t>
            </w:r>
          </w:p>
          <w:p w:rsidR="006E2D85" w:rsidRPr="002D4663" w:rsidRDefault="006E2D85" w:rsidP="008A4759">
            <w:pPr>
              <w:pStyle w:val="Nadpis2"/>
              <w:rPr>
                <w:rFonts w:asciiTheme="minorHAnsi" w:hAnsiTheme="minorHAnsi" w:cstheme="minorHAnsi"/>
              </w:rPr>
            </w:pPr>
            <w:bookmarkStart w:id="10" w:name="_Toc288643215"/>
            <w:r w:rsidRPr="002D4663">
              <w:rPr>
                <w:rFonts w:asciiTheme="minorHAnsi" w:hAnsiTheme="minorHAnsi" w:cstheme="minorHAnsi"/>
              </w:rPr>
              <w:t>Předpokládaný rozpočet</w:t>
            </w:r>
            <w:r w:rsidR="00A85E4D" w:rsidRPr="002D4663">
              <w:rPr>
                <w:rFonts w:asciiTheme="minorHAnsi" w:hAnsiTheme="minorHAnsi" w:cstheme="minorHAnsi"/>
              </w:rPr>
              <w:t>, skutečně čerpaný rozpočet</w:t>
            </w:r>
            <w:bookmarkEnd w:id="10"/>
          </w:p>
          <w:tbl>
            <w:tblPr>
              <w:tblW w:w="10213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8"/>
              <w:gridCol w:w="1701"/>
              <w:gridCol w:w="1701"/>
              <w:gridCol w:w="992"/>
              <w:gridCol w:w="992"/>
              <w:gridCol w:w="992"/>
              <w:gridCol w:w="992"/>
              <w:gridCol w:w="992"/>
              <w:gridCol w:w="993"/>
            </w:tblGrid>
            <w:tr w:rsidR="00D40BA9" w:rsidRPr="002D4663" w:rsidTr="00867D96">
              <w:tc>
                <w:tcPr>
                  <w:tcW w:w="858" w:type="dxa"/>
                  <w:vMerge w:val="restart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% z rozpočtu (dle platného SPL)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% z rozpočtu (stav k </w:t>
                  </w:r>
                  <w:r w:rsidR="002B2958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</w:t>
                  </w:r>
                  <w:r w:rsidR="00616095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</w:t>
                  </w:r>
                  <w:r w:rsidR="002B2958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. </w:t>
                  </w:r>
                  <w:r w:rsidR="006F46A1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5</w:t>
                  </w:r>
                  <w:r w:rsidR="002B2958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. 201</w:t>
                  </w:r>
                  <w:r w:rsidR="00616095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</w:t>
                  </w: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gridSpan w:val="2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Podané </w:t>
                  </w:r>
                  <w:r w:rsidR="006676C1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žádosti</w:t>
                  </w:r>
                </w:p>
              </w:tc>
              <w:tc>
                <w:tcPr>
                  <w:tcW w:w="1984" w:type="dxa"/>
                  <w:gridSpan w:val="2"/>
                  <w:shd w:val="clear" w:color="auto" w:fill="548DD4" w:themeFill="text2" w:themeFillTint="99"/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Schválené žádosti</w:t>
                  </w:r>
                </w:p>
              </w:tc>
              <w:tc>
                <w:tcPr>
                  <w:tcW w:w="1985" w:type="dxa"/>
                  <w:gridSpan w:val="2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Proplacené projekty</w:t>
                  </w:r>
                </w:p>
              </w:tc>
            </w:tr>
            <w:tr w:rsidR="00D40BA9" w:rsidRPr="002D4663" w:rsidTr="00867D96">
              <w:tc>
                <w:tcPr>
                  <w:tcW w:w="858" w:type="dxa"/>
                  <w:vMerge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992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992" w:type="dxa"/>
                  <w:shd w:val="clear" w:color="auto" w:fill="548DD4" w:themeFill="text2" w:themeFillTint="99"/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992" w:type="dxa"/>
                  <w:shd w:val="clear" w:color="auto" w:fill="548DD4" w:themeFill="text2" w:themeFillTint="99"/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992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993" w:type="dxa"/>
                  <w:shd w:val="clear" w:color="auto" w:fill="548DD4" w:themeFill="text2" w:themeFillTint="99"/>
                </w:tcPr>
                <w:p w:rsidR="00D40BA9" w:rsidRPr="002D4663" w:rsidRDefault="00D40BA9" w:rsidP="00616095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Kč</w:t>
                  </w:r>
                </w:p>
              </w:tc>
            </w:tr>
            <w:tr w:rsidR="00B86EF5" w:rsidRPr="002D4663" w:rsidTr="00867D96">
              <w:tc>
                <w:tcPr>
                  <w:tcW w:w="858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B86EF5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7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F46A1" w:rsidRPr="002D4663" w:rsidRDefault="006F46A1" w:rsidP="006F46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867D96" w:rsidP="00CD52EB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7,22 %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613.094</w:t>
                  </w:r>
                </w:p>
              </w:tc>
              <w:tc>
                <w:tcPr>
                  <w:tcW w:w="992" w:type="dxa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B86EF5" w:rsidRPr="002D4663" w:rsidRDefault="000569AF" w:rsidP="000569A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613.094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86EF5" w:rsidRPr="002D4663" w:rsidRDefault="000569AF" w:rsidP="000569A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491.665</w:t>
                  </w:r>
                </w:p>
              </w:tc>
            </w:tr>
            <w:tr w:rsidR="00B86EF5" w:rsidRPr="002D4663" w:rsidTr="00867D96">
              <w:tc>
                <w:tcPr>
                  <w:tcW w:w="858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B86EF5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7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6F46A1" w:rsidP="00D075B7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867D96" w:rsidP="00CD52EB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50,12 %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6D6247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4.254.448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</w:tcPr>
                <w:p w:rsidR="00B86EF5" w:rsidRPr="002D4663" w:rsidRDefault="000569AF" w:rsidP="000569A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4.254.448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B8CCE4" w:themeFill="accent1" w:themeFillTint="66"/>
                </w:tcPr>
                <w:p w:rsidR="00B86EF5" w:rsidRPr="002D4663" w:rsidRDefault="000569AF" w:rsidP="000569AF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3.184.985</w:t>
                  </w:r>
                </w:p>
              </w:tc>
            </w:tr>
            <w:tr w:rsidR="00B86EF5" w:rsidRPr="002D4663" w:rsidTr="00867D96">
              <w:tc>
                <w:tcPr>
                  <w:tcW w:w="858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B86EF5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17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6F46A1" w:rsidP="00D075B7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0569AF" w:rsidP="00CD52EB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0 %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</w:tr>
            <w:tr w:rsidR="00B86EF5" w:rsidRPr="002D4663" w:rsidTr="00867D96">
              <w:tc>
                <w:tcPr>
                  <w:tcW w:w="858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B86EF5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17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6F46A1" w:rsidP="00D075B7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867D96" w:rsidP="00CD52EB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1,51 %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128.280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128.280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B8CCE4" w:themeFill="accent1" w:themeFillTint="66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128.280</w:t>
                  </w:r>
                </w:p>
              </w:tc>
            </w:tr>
            <w:tr w:rsidR="00B86EF5" w:rsidRPr="002D4663" w:rsidTr="00867D96">
              <w:tc>
                <w:tcPr>
                  <w:tcW w:w="858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B86EF5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17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6F46A1" w:rsidP="00D075B7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867D96" w:rsidP="00CD52EB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41,15 %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5.059.047</w:t>
                  </w:r>
                </w:p>
              </w:tc>
              <w:tc>
                <w:tcPr>
                  <w:tcW w:w="992" w:type="dxa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3.493.323</w:t>
                  </w:r>
                </w:p>
              </w:tc>
              <w:tc>
                <w:tcPr>
                  <w:tcW w:w="99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86EF5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594.219</w:t>
                  </w:r>
                </w:p>
              </w:tc>
            </w:tr>
            <w:tr w:rsidR="00196A64" w:rsidRPr="002D4663" w:rsidTr="00867D96">
              <w:tc>
                <w:tcPr>
                  <w:tcW w:w="858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96A64" w:rsidRPr="002D4663" w:rsidRDefault="00196A64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17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96A64" w:rsidRPr="002D4663" w:rsidRDefault="006F46A1" w:rsidP="000B029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96A64" w:rsidRPr="002D4663" w:rsidRDefault="000569AF" w:rsidP="000B029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0 %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96A64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96A64" w:rsidRPr="002D4663" w:rsidRDefault="000569AF" w:rsidP="00E30FC2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vAlign w:val="center"/>
                </w:tcPr>
                <w:p w:rsidR="00196A64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vAlign w:val="center"/>
                </w:tcPr>
                <w:p w:rsidR="00196A64" w:rsidRPr="002D4663" w:rsidRDefault="000569AF" w:rsidP="003C09B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60E20" w:rsidRPr="002D4663" w:rsidRDefault="000569AF" w:rsidP="00160E20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B8CCE4" w:themeFill="accent1" w:themeFillTint="66"/>
                  <w:vAlign w:val="center"/>
                </w:tcPr>
                <w:p w:rsidR="00196A64" w:rsidRPr="002D4663" w:rsidRDefault="000569AF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</w:tr>
            <w:tr w:rsidR="00B86EF5" w:rsidRPr="002D4663" w:rsidTr="00867D96">
              <w:tc>
                <w:tcPr>
                  <w:tcW w:w="858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867D96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867D96" w:rsidP="00D075B7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B86EF5" w:rsidRPr="002D4663" w:rsidRDefault="00867D96" w:rsidP="00CD52EB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  <w:r w:rsidR="00CD52EB"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867D96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867D96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10.054.869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86EF5" w:rsidRPr="002D4663" w:rsidRDefault="00867D96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86EF5" w:rsidRPr="002D4663" w:rsidRDefault="00867D96" w:rsidP="00867D9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8.489</w:t>
                  </w:r>
                  <w:r w:rsidR="00D9314B" w:rsidRPr="002D466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.</w:t>
                  </w:r>
                  <w:r w:rsidRPr="002D466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86EF5" w:rsidRPr="002D4663" w:rsidRDefault="00366202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B86EF5" w:rsidRPr="002D4663" w:rsidRDefault="00867D96" w:rsidP="00867D96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4.399</w:t>
                  </w:r>
                  <w:r w:rsidR="00366202"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149</w:t>
                  </w:r>
                </w:p>
              </w:tc>
            </w:tr>
          </w:tbl>
          <w:p w:rsidR="00E30FC2" w:rsidRPr="002D4663" w:rsidRDefault="00E30FC2">
            <w:pPr>
              <w:pStyle w:val="Textbody"/>
              <w:rPr>
                <w:rFonts w:asciiTheme="minorHAnsi" w:hAnsiTheme="minorHAnsi" w:cstheme="minorHAnsi"/>
              </w:rPr>
            </w:pPr>
          </w:p>
          <w:p w:rsidR="00E30FC2" w:rsidRPr="002D4663" w:rsidRDefault="00E30FC2">
            <w:pPr>
              <w:pStyle w:val="Textbody"/>
              <w:rPr>
                <w:rFonts w:asciiTheme="minorHAnsi" w:hAnsiTheme="minorHAnsi" w:cstheme="minorHAnsi"/>
              </w:rPr>
            </w:pPr>
          </w:p>
          <w:p w:rsidR="00A300D2" w:rsidRPr="002D4663" w:rsidRDefault="001A52C3" w:rsidP="00616095">
            <w:pPr>
              <w:pStyle w:val="Nadpis2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bookmarkStart w:id="11" w:name="_Toc288643216"/>
            <w:r w:rsidRPr="002D4663">
              <w:rPr>
                <w:rFonts w:asciiTheme="minorHAnsi" w:hAnsiTheme="minorHAnsi" w:cstheme="minorHAnsi"/>
              </w:rPr>
              <w:lastRenderedPageBreak/>
              <w:t>Alokace</w:t>
            </w:r>
            <w:bookmarkEnd w:id="11"/>
          </w:p>
          <w:p w:rsidR="000B029C" w:rsidRPr="002D4663" w:rsidRDefault="000B029C" w:rsidP="000B029C">
            <w:pPr>
              <w:pStyle w:val="Textbody"/>
              <w:rPr>
                <w:rFonts w:asciiTheme="minorHAnsi" w:hAnsiTheme="minorHAnsi" w:cstheme="minorHAnsi"/>
              </w:rPr>
            </w:pPr>
          </w:p>
          <w:tbl>
            <w:tblPr>
              <w:tblW w:w="848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7"/>
              <w:gridCol w:w="1697"/>
              <w:gridCol w:w="1697"/>
              <w:gridCol w:w="1696"/>
            </w:tblGrid>
            <w:tr w:rsidR="001A52C3" w:rsidRPr="002D4663" w:rsidTr="00DA61B4">
              <w:trPr>
                <w:jc w:val="center"/>
              </w:trPr>
              <w:tc>
                <w:tcPr>
                  <w:tcW w:w="169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</w:tcBorders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52C3" w:rsidRPr="002D4663" w:rsidRDefault="001A52C3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Stav k </w:t>
                  </w: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30.6.2011</w:t>
                  </w:r>
                  <w:proofErr w:type="gramEnd"/>
                </w:p>
              </w:tc>
              <w:tc>
                <w:tcPr>
                  <w:tcW w:w="169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</w:tcBorders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52C3" w:rsidRPr="002D4663" w:rsidRDefault="001A52C3" w:rsidP="000B029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Celková alokace (Kč)</w:t>
                  </w:r>
                </w:p>
              </w:tc>
              <w:tc>
                <w:tcPr>
                  <w:tcW w:w="169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</w:tcBorders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52C3" w:rsidRPr="002D4663" w:rsidRDefault="001A52C3" w:rsidP="000B029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Alokace </w:t>
                  </w: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IV.1.2</w:t>
                  </w:r>
                  <w:proofErr w:type="gram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(Kč)</w:t>
                  </w:r>
                </w:p>
              </w:tc>
              <w:tc>
                <w:tcPr>
                  <w:tcW w:w="169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</w:tcBorders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52C3" w:rsidRPr="002D4663" w:rsidRDefault="001A52C3" w:rsidP="000B029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Závazkování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IV.1.2</w:t>
                  </w:r>
                  <w:proofErr w:type="gram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(Kč)</w:t>
                  </w:r>
                </w:p>
              </w:tc>
              <w:tc>
                <w:tcPr>
                  <w:tcW w:w="169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029C" w:rsidRPr="002D4663" w:rsidRDefault="001A52C3" w:rsidP="000B029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Propl</w:t>
                  </w:r>
                  <w:r w:rsidR="000B029C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a</w:t>
                  </w: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ceno</w:t>
                  </w:r>
                </w:p>
                <w:p w:rsidR="001A52C3" w:rsidRPr="002D4663" w:rsidRDefault="001A52C3" w:rsidP="000B029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IV.1.2</w:t>
                  </w:r>
                  <w:proofErr w:type="gram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(Kč)</w:t>
                  </w:r>
                </w:p>
              </w:tc>
            </w:tr>
            <w:tr w:rsidR="00DA61B4" w:rsidRPr="002D4663" w:rsidTr="00DA61B4">
              <w:trPr>
                <w:jc w:val="center"/>
              </w:trPr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1B4" w:rsidRPr="002D4663" w:rsidRDefault="00DA61B4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3.435.659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DA61B4" w:rsidP="007624CE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2.929.859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DA61B4" w:rsidP="007624CE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DA61B4" w:rsidP="007624CE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2.929.859</w:t>
                  </w:r>
                </w:p>
              </w:tc>
            </w:tr>
            <w:tr w:rsidR="001A52C3" w:rsidRPr="002D4663" w:rsidTr="00DA61B4">
              <w:trPr>
                <w:jc w:val="center"/>
              </w:trPr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52C3" w:rsidRPr="002D4663" w:rsidRDefault="001A52C3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3.531.060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3.161.105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2E1B6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2.541.889</w:t>
                  </w:r>
                </w:p>
              </w:tc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619.216</w:t>
                  </w:r>
                </w:p>
              </w:tc>
            </w:tr>
            <w:tr w:rsidR="001A52C3" w:rsidRPr="002D4663" w:rsidTr="00DA61B4">
              <w:trPr>
                <w:jc w:val="center"/>
              </w:trPr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52C3" w:rsidRPr="002D4663" w:rsidRDefault="001A52C3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3.442.434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2.398.181 *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2.398.181 *</w:t>
                  </w:r>
                </w:p>
              </w:tc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2E1B6C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1A52C3" w:rsidRPr="002D4663" w:rsidTr="00DA61B4">
              <w:trPr>
                <w:jc w:val="center"/>
              </w:trPr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52C3" w:rsidRPr="002D4663" w:rsidRDefault="001A52C3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10.409.153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8.489.145</w:t>
                  </w:r>
                </w:p>
              </w:tc>
              <w:tc>
                <w:tcPr>
                  <w:tcW w:w="1697" w:type="dxa"/>
                  <w:tcBorders>
                    <w:left w:val="single" w:sz="2" w:space="0" w:color="808080"/>
                    <w:bottom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2E1B6C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4.940.070</w:t>
                  </w:r>
                </w:p>
              </w:tc>
              <w:tc>
                <w:tcPr>
                  <w:tcW w:w="1696" w:type="dxa"/>
                  <w:tcBorders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A52C3" w:rsidRPr="002D4663" w:rsidRDefault="00DA61B4" w:rsidP="00B641A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3.549.075</w:t>
                  </w:r>
                </w:p>
              </w:tc>
            </w:tr>
          </w:tbl>
          <w:p w:rsidR="00DA61B4" w:rsidRPr="002D4663" w:rsidRDefault="00DA61B4" w:rsidP="00DA61B4">
            <w:pPr>
              <w:pStyle w:val="Textbody"/>
              <w:ind w:left="720"/>
              <w:rPr>
                <w:rFonts w:asciiTheme="minorHAnsi" w:hAnsiTheme="minorHAnsi" w:cstheme="minorHAnsi"/>
              </w:rPr>
            </w:pPr>
          </w:p>
          <w:p w:rsidR="001A52C3" w:rsidRPr="002D4663" w:rsidRDefault="00DA61B4" w:rsidP="00DA61B4">
            <w:pPr>
              <w:pStyle w:val="Textbody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V rámci 14. Kola PRV hodláme alokovat na </w:t>
            </w:r>
            <w:proofErr w:type="gramStart"/>
            <w:r w:rsidRPr="002D4663">
              <w:rPr>
                <w:rFonts w:asciiTheme="minorHAnsi" w:hAnsiTheme="minorHAnsi" w:cstheme="minorHAnsi"/>
              </w:rPr>
              <w:t>IV</w:t>
            </w:r>
            <w:proofErr w:type="gramEnd"/>
            <w:r w:rsidRPr="002D4663">
              <w:rPr>
                <w:rFonts w:asciiTheme="minorHAnsi" w:hAnsiTheme="minorHAnsi" w:cstheme="minorHAnsi"/>
              </w:rPr>
              <w:t>.</w:t>
            </w:r>
            <w:proofErr w:type="gramStart"/>
            <w:r w:rsidRPr="002D4663">
              <w:rPr>
                <w:rFonts w:asciiTheme="minorHAnsi" w:hAnsiTheme="minorHAnsi" w:cstheme="minorHAnsi"/>
              </w:rPr>
              <w:t>1.2</w:t>
            </w:r>
            <w:proofErr w:type="gramEnd"/>
            <w:r w:rsidRPr="002D4663">
              <w:rPr>
                <w:rFonts w:asciiTheme="minorHAnsi" w:hAnsiTheme="minorHAnsi" w:cstheme="minorHAnsi"/>
              </w:rPr>
              <w:t>. dalších 600.000,-</w:t>
            </w:r>
          </w:p>
          <w:p w:rsidR="000B029C" w:rsidRPr="002D4663" w:rsidRDefault="000B029C">
            <w:pPr>
              <w:pStyle w:val="Textbody"/>
              <w:rPr>
                <w:rFonts w:asciiTheme="minorHAnsi" w:hAnsiTheme="minorHAnsi" w:cstheme="minorHAnsi"/>
              </w:rPr>
            </w:pPr>
          </w:p>
          <w:p w:rsidR="00A300D2" w:rsidRPr="002D4663" w:rsidRDefault="0043533B" w:rsidP="000B029C">
            <w:pPr>
              <w:pStyle w:val="Nadpis2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bookmarkStart w:id="12" w:name="_Toc288643217"/>
            <w:r w:rsidRPr="002D4663">
              <w:rPr>
                <w:rFonts w:asciiTheme="minorHAnsi" w:hAnsiTheme="minorHAnsi" w:cstheme="minorHAnsi"/>
              </w:rPr>
              <w:t>Výzvy</w:t>
            </w:r>
            <w:bookmarkEnd w:id="12"/>
          </w:p>
          <w:p w:rsidR="000B029C" w:rsidRPr="002D4663" w:rsidRDefault="000B029C" w:rsidP="000B029C">
            <w:pPr>
              <w:pStyle w:val="Textbody"/>
              <w:rPr>
                <w:rFonts w:asciiTheme="minorHAnsi" w:hAnsiTheme="minorHAnsi" w:cstheme="minorHAnsi"/>
              </w:rPr>
            </w:pPr>
          </w:p>
          <w:tbl>
            <w:tblPr>
              <w:tblW w:w="8344" w:type="dxa"/>
              <w:jc w:val="center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1"/>
              <w:gridCol w:w="1428"/>
              <w:gridCol w:w="1429"/>
              <w:gridCol w:w="1428"/>
              <w:gridCol w:w="1429"/>
              <w:gridCol w:w="1429"/>
            </w:tblGrid>
            <w:tr w:rsidR="001261FA" w:rsidRPr="002D4663" w:rsidTr="006910A2">
              <w:trPr>
                <w:trHeight w:val="237"/>
                <w:jc w:val="center"/>
              </w:trPr>
              <w:tc>
                <w:tcPr>
                  <w:tcW w:w="120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Výzva</w:t>
                  </w:r>
                </w:p>
              </w:tc>
              <w:tc>
                <w:tcPr>
                  <w:tcW w:w="1428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28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5.</w:t>
                  </w:r>
                </w:p>
              </w:tc>
            </w:tr>
            <w:tr w:rsidR="001261FA" w:rsidRPr="002D4663" w:rsidTr="006910A2">
              <w:trPr>
                <w:trHeight w:val="237"/>
                <w:jc w:val="center"/>
              </w:trPr>
              <w:tc>
                <w:tcPr>
                  <w:tcW w:w="120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Vyhlášení</w:t>
                  </w:r>
                </w:p>
              </w:tc>
              <w:tc>
                <w:tcPr>
                  <w:tcW w:w="1428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1.9.2009</w:t>
                  </w:r>
                  <w:proofErr w:type="gramEnd"/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21.1.2010</w:t>
                  </w:r>
                  <w:proofErr w:type="gramEnd"/>
                </w:p>
              </w:tc>
              <w:tc>
                <w:tcPr>
                  <w:tcW w:w="1428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5.5.2010</w:t>
                  </w:r>
                  <w:proofErr w:type="gramEnd"/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1.9.2010</w:t>
                  </w:r>
                  <w:proofErr w:type="gramEnd"/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6.1.2011</w:t>
                  </w:r>
                  <w:proofErr w:type="gramEnd"/>
                </w:p>
              </w:tc>
            </w:tr>
            <w:tr w:rsidR="001261FA" w:rsidRPr="002D4663" w:rsidTr="006910A2">
              <w:trPr>
                <w:trHeight w:val="237"/>
                <w:jc w:val="center"/>
              </w:trPr>
              <w:tc>
                <w:tcPr>
                  <w:tcW w:w="120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Ukončení</w:t>
                  </w:r>
                </w:p>
              </w:tc>
              <w:tc>
                <w:tcPr>
                  <w:tcW w:w="1428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29.9.2009</w:t>
                  </w:r>
                  <w:proofErr w:type="gramEnd"/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19.2.2010</w:t>
                  </w:r>
                  <w:proofErr w:type="gramEnd"/>
                </w:p>
              </w:tc>
              <w:tc>
                <w:tcPr>
                  <w:tcW w:w="1428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4.6.2010</w:t>
                  </w:r>
                  <w:proofErr w:type="gramEnd"/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30.9.2010</w:t>
                  </w:r>
                  <w:proofErr w:type="gramEnd"/>
                </w:p>
              </w:tc>
              <w:tc>
                <w:tcPr>
                  <w:tcW w:w="1429" w:type="dxa"/>
                  <w:shd w:val="clear" w:color="auto" w:fill="548DD4" w:themeFill="text2" w:themeFillTint="99"/>
                  <w:vAlign w:val="center"/>
                </w:tcPr>
                <w:p w:rsidR="001261FA" w:rsidRPr="002D4663" w:rsidRDefault="006910A2" w:rsidP="006910A2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11.2.2011</w:t>
                  </w:r>
                  <w:proofErr w:type="gramEnd"/>
                </w:p>
              </w:tc>
            </w:tr>
            <w:tr w:rsidR="001261FA" w:rsidRPr="002D4663" w:rsidTr="006910A2">
              <w:trPr>
                <w:trHeight w:val="219"/>
                <w:jc w:val="center"/>
              </w:trPr>
              <w:tc>
                <w:tcPr>
                  <w:tcW w:w="120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4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8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</w:tr>
            <w:tr w:rsidR="001261FA" w:rsidRPr="002D4663" w:rsidTr="006910A2">
              <w:trPr>
                <w:trHeight w:val="219"/>
                <w:jc w:val="center"/>
              </w:trPr>
              <w:tc>
                <w:tcPr>
                  <w:tcW w:w="12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428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8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</w:tr>
            <w:tr w:rsidR="001261FA" w:rsidRPr="002D4663" w:rsidTr="006910A2">
              <w:trPr>
                <w:trHeight w:val="219"/>
                <w:jc w:val="center"/>
              </w:trPr>
              <w:tc>
                <w:tcPr>
                  <w:tcW w:w="120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14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</w:tr>
            <w:tr w:rsidR="001261FA" w:rsidRPr="002D4663" w:rsidTr="006910A2">
              <w:trPr>
                <w:trHeight w:val="219"/>
                <w:jc w:val="center"/>
              </w:trPr>
              <w:tc>
                <w:tcPr>
                  <w:tcW w:w="12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1428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8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</w:tr>
            <w:tr w:rsidR="001261FA" w:rsidRPr="002D4663" w:rsidTr="006910A2">
              <w:trPr>
                <w:trHeight w:val="219"/>
                <w:jc w:val="center"/>
              </w:trPr>
              <w:tc>
                <w:tcPr>
                  <w:tcW w:w="1201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142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317A61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8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</w:tr>
            <w:tr w:rsidR="001261FA" w:rsidRPr="002D4663" w:rsidTr="006910A2">
              <w:trPr>
                <w:trHeight w:val="219"/>
                <w:jc w:val="center"/>
              </w:trPr>
              <w:tc>
                <w:tcPr>
                  <w:tcW w:w="1201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1FA" w:rsidRPr="002D4663" w:rsidRDefault="001261FA" w:rsidP="00306704">
                  <w:pPr>
                    <w:pStyle w:val="TableContents"/>
                    <w:snapToGrid w:val="0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Fiche</w:t>
                  </w:r>
                  <w:proofErr w:type="spell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1428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1261FA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29" w:type="dxa"/>
                  <w:shd w:val="clear" w:color="auto" w:fill="B8CCE4" w:themeFill="accent1" w:themeFillTint="66"/>
                  <w:vAlign w:val="center"/>
                </w:tcPr>
                <w:p w:rsidR="001261FA" w:rsidRPr="002D4663" w:rsidRDefault="006910A2" w:rsidP="00317A61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43533B" w:rsidRPr="002D4663" w:rsidRDefault="0043533B">
            <w:pPr>
              <w:pStyle w:val="Textbody"/>
              <w:rPr>
                <w:rFonts w:asciiTheme="minorHAnsi" w:hAnsiTheme="minorHAnsi" w:cstheme="minorHAnsi"/>
              </w:rPr>
            </w:pPr>
          </w:p>
          <w:p w:rsidR="009D37F3" w:rsidRPr="002D4663" w:rsidRDefault="009D37F3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Za celou dobu</w:t>
            </w:r>
            <w:r w:rsidR="006910A2" w:rsidRPr="002D4663">
              <w:rPr>
                <w:rFonts w:asciiTheme="minorHAnsi" w:hAnsiTheme="minorHAnsi" w:cstheme="minorHAnsi"/>
              </w:rPr>
              <w:t xml:space="preserve"> realizace SPL bylo vyhlášeno 5 výzev</w:t>
            </w:r>
            <w:r w:rsidRPr="002D4663">
              <w:rPr>
                <w:rFonts w:asciiTheme="minorHAnsi" w:hAnsiTheme="minorHAnsi" w:cstheme="minorHAnsi"/>
              </w:rPr>
              <w:t xml:space="preserve"> pro příjem žádostí. V těchto </w:t>
            </w:r>
            <w:r w:rsidR="00150818" w:rsidRPr="002D4663">
              <w:rPr>
                <w:rFonts w:asciiTheme="minorHAnsi" w:hAnsiTheme="minorHAnsi" w:cstheme="minorHAnsi"/>
              </w:rPr>
              <w:t xml:space="preserve">výzvách bylo doposud </w:t>
            </w:r>
            <w:proofErr w:type="spellStart"/>
            <w:r w:rsidR="00150818" w:rsidRPr="002D4663">
              <w:rPr>
                <w:rFonts w:asciiTheme="minorHAnsi" w:hAnsiTheme="minorHAnsi" w:cstheme="minorHAnsi"/>
              </w:rPr>
              <w:t>vyhláše</w:t>
            </w:r>
            <w:r w:rsidR="006910A2" w:rsidRPr="002D4663">
              <w:rPr>
                <w:rFonts w:asciiTheme="minorHAnsi" w:hAnsiTheme="minorHAnsi" w:cstheme="minorHAnsi"/>
              </w:rPr>
              <w:t>všech</w:t>
            </w:r>
            <w:proofErr w:type="spellEnd"/>
            <w:r w:rsidR="00150818" w:rsidRPr="002D4663">
              <w:rPr>
                <w:rFonts w:asciiTheme="minorHAnsi" w:hAnsiTheme="minorHAnsi" w:cstheme="minorHAnsi"/>
              </w:rPr>
              <w:t xml:space="preserve"> </w:t>
            </w:r>
            <w:r w:rsidR="000B029C" w:rsidRPr="002D4663">
              <w:rPr>
                <w:rFonts w:asciiTheme="minorHAnsi" w:hAnsiTheme="minorHAnsi" w:cstheme="minorHAnsi"/>
              </w:rPr>
              <w:t>6</w:t>
            </w:r>
            <w:r w:rsidRPr="002D46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D4663">
              <w:rPr>
                <w:rFonts w:asciiTheme="minorHAnsi" w:hAnsiTheme="minorHAnsi" w:cstheme="minorHAnsi"/>
              </w:rPr>
              <w:t>Fichí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. </w:t>
            </w:r>
          </w:p>
          <w:p w:rsidR="000B029C" w:rsidRPr="002D4663" w:rsidRDefault="000B029C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DA61B4" w:rsidRPr="002D4663" w:rsidRDefault="00DA61B4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DA61B4" w:rsidRPr="002D4663" w:rsidRDefault="00DA61B4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43533B" w:rsidRPr="002D4663" w:rsidRDefault="00F62EC4" w:rsidP="00CA4448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bookmarkStart w:id="13" w:name="_Toc288643218"/>
            <w:r w:rsidRPr="002D4663">
              <w:rPr>
                <w:rFonts w:asciiTheme="minorHAnsi" w:hAnsiTheme="minorHAnsi" w:cstheme="minorHAnsi"/>
              </w:rPr>
              <w:lastRenderedPageBreak/>
              <w:t>Metodický přístup</w:t>
            </w:r>
            <w:bookmarkEnd w:id="13"/>
          </w:p>
          <w:p w:rsidR="00E30FC2" w:rsidRPr="002D4663" w:rsidRDefault="00E30FC2" w:rsidP="00E30FC2">
            <w:pPr>
              <w:pStyle w:val="Textbody"/>
              <w:rPr>
                <w:rFonts w:asciiTheme="minorHAnsi" w:hAnsiTheme="minorHAnsi" w:cstheme="minorHAnsi"/>
              </w:rPr>
            </w:pPr>
            <w:bookmarkStart w:id="14" w:name="_Toc288643219"/>
          </w:p>
          <w:p w:rsidR="00F62EC4" w:rsidRPr="002D4663" w:rsidRDefault="00F62EC4" w:rsidP="00E30FC2">
            <w:pPr>
              <w:pStyle w:val="Nadpis2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Monitorovací indikátory</w:t>
            </w:r>
            <w:bookmarkEnd w:id="14"/>
          </w:p>
          <w:tbl>
            <w:tblPr>
              <w:tblW w:w="10505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44"/>
              <w:gridCol w:w="1276"/>
              <w:gridCol w:w="1277"/>
              <w:gridCol w:w="1277"/>
              <w:gridCol w:w="1277"/>
              <w:gridCol w:w="1277"/>
              <w:gridCol w:w="1277"/>
            </w:tblGrid>
            <w:tr w:rsidR="007375EA" w:rsidRPr="002D4663" w:rsidTr="002D4663">
              <w:trPr>
                <w:trHeight w:val="849"/>
              </w:trPr>
              <w:tc>
                <w:tcPr>
                  <w:tcW w:w="2844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375EA" w:rsidRPr="002D4663" w:rsidRDefault="007375EA" w:rsidP="005F5EF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Monitorovací indikátor</w:t>
                  </w:r>
                </w:p>
              </w:tc>
              <w:tc>
                <w:tcPr>
                  <w:tcW w:w="1276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375EA" w:rsidRPr="002D4663" w:rsidRDefault="007375EA" w:rsidP="006C5BF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Plánovaná hodnota dle původního SPL</w:t>
                  </w:r>
                </w:p>
              </w:tc>
              <w:tc>
                <w:tcPr>
                  <w:tcW w:w="1277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375EA" w:rsidRPr="002D4663" w:rsidRDefault="007375EA" w:rsidP="005F5EF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Plánovaná hodnota dle platného SPL</w:t>
                  </w:r>
                </w:p>
              </w:tc>
              <w:tc>
                <w:tcPr>
                  <w:tcW w:w="1277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375EA" w:rsidRPr="002D4663" w:rsidRDefault="007375EA" w:rsidP="005F5EF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Stav plnění k </w:t>
                  </w:r>
                  <w:proofErr w:type="gramStart"/>
                  <w:r w:rsidR="004F6B07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31.5</w:t>
                  </w: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.2011</w:t>
                  </w:r>
                  <w:proofErr w:type="gramEnd"/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(schválená dotace)</w:t>
                  </w:r>
                </w:p>
              </w:tc>
              <w:tc>
                <w:tcPr>
                  <w:tcW w:w="1277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375EA" w:rsidRPr="002D4663" w:rsidRDefault="007375EA" w:rsidP="005F5EF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% dosažení cílové hodnoty</w:t>
                  </w:r>
                </w:p>
              </w:tc>
              <w:tc>
                <w:tcPr>
                  <w:tcW w:w="1277" w:type="dxa"/>
                  <w:shd w:val="clear" w:color="auto" w:fill="548DD4" w:themeFill="text2" w:themeFillTint="99"/>
                </w:tcPr>
                <w:p w:rsidR="007375EA" w:rsidRPr="002D4663" w:rsidRDefault="007375EA" w:rsidP="00E30FC2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Stav plnění </w:t>
                  </w:r>
                  <w:r w:rsidR="006708A0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k</w:t>
                  </w:r>
                  <w:r w:rsidR="00E30FC2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30FC2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3</w:t>
                  </w:r>
                  <w:r w:rsidR="006708A0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1.</w:t>
                  </w:r>
                  <w:r w:rsidR="00E30FC2"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12</w:t>
                  </w: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.2011</w:t>
                  </w:r>
                  <w:proofErr w:type="gramEnd"/>
                </w:p>
              </w:tc>
              <w:tc>
                <w:tcPr>
                  <w:tcW w:w="1277" w:type="dxa"/>
                  <w:shd w:val="clear" w:color="auto" w:fill="548DD4" w:themeFill="text2" w:themeFillTint="99"/>
                </w:tcPr>
                <w:p w:rsidR="007375EA" w:rsidRPr="002D4663" w:rsidRDefault="007375EA" w:rsidP="00845BF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/>
                      <w:sz w:val="20"/>
                      <w:szCs w:val="20"/>
                    </w:rPr>
                    <w:t>% dosažení cílové hodnoty</w:t>
                  </w:r>
                </w:p>
              </w:tc>
            </w:tr>
            <w:tr w:rsidR="007375EA" w:rsidRPr="002D4663" w:rsidTr="002D4663">
              <w:trPr>
                <w:trHeight w:val="887"/>
              </w:trPr>
              <w:tc>
                <w:tcPr>
                  <w:tcW w:w="2844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375EA" w:rsidRPr="002D4663" w:rsidRDefault="00DA61B4" w:rsidP="000B6F5F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1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Počet podaných a realizovaných projektů</w:t>
                  </w:r>
                </w:p>
              </w:tc>
              <w:tc>
                <w:tcPr>
                  <w:tcW w:w="127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375EA" w:rsidRPr="002D4663" w:rsidRDefault="002D4663" w:rsidP="006C5BF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42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375EA" w:rsidRPr="002D4663" w:rsidRDefault="002D4663" w:rsidP="00306704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42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375EA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21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375EA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50 %</w:t>
                  </w:r>
                </w:p>
              </w:tc>
              <w:tc>
                <w:tcPr>
                  <w:tcW w:w="1277" w:type="dxa"/>
                </w:tcPr>
                <w:p w:rsidR="007375EA" w:rsidRPr="002D4663" w:rsidRDefault="007375EA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</w:tcPr>
                <w:p w:rsidR="007375EA" w:rsidRPr="002D4663" w:rsidRDefault="007375EA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61B4" w:rsidRPr="002D4663" w:rsidTr="002D4663">
              <w:trPr>
                <w:trHeight w:val="347"/>
              </w:trPr>
              <w:tc>
                <w:tcPr>
                  <w:tcW w:w="2844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1B4" w:rsidRPr="002D4663" w:rsidRDefault="00DA61B4" w:rsidP="007624CE">
                  <w:pPr>
                    <w:snapToGrid w:val="0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Počet podnikatelských subjektů, které obdržely podporu</w:t>
                  </w:r>
                </w:p>
              </w:tc>
              <w:tc>
                <w:tcPr>
                  <w:tcW w:w="127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6C5BF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06704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2D466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10</w:t>
                  </w:r>
                  <w:r w:rsidR="00DA61B4" w:rsidRPr="002D4663">
                    <w:rPr>
                      <w:rFonts w:asciiTheme="minorHAnsi" w:hAnsiTheme="minorHAnsi" w:cstheme="minorHAnsi"/>
                    </w:rPr>
                    <w:t xml:space="preserve"> %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shd w:val="clear" w:color="auto" w:fill="B8CCE4" w:themeFill="accent1" w:themeFillTint="66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61B4" w:rsidRPr="002D4663" w:rsidTr="002D4663">
              <w:trPr>
                <w:trHeight w:val="598"/>
              </w:trPr>
              <w:tc>
                <w:tcPr>
                  <w:tcW w:w="2844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1B4" w:rsidRPr="002D4663" w:rsidRDefault="002D4663" w:rsidP="000B6F5F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1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Počet podpoř</w:t>
                  </w:r>
                  <w:r w:rsidR="00DA61B4"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ených obcí a další neziskových organizací</w:t>
                  </w:r>
                </w:p>
              </w:tc>
              <w:tc>
                <w:tcPr>
                  <w:tcW w:w="127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6C5BF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22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06704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22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17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77</w:t>
                  </w:r>
                  <w:r w:rsidR="00DA61B4" w:rsidRPr="002D4663">
                    <w:rPr>
                      <w:rFonts w:asciiTheme="minorHAnsi" w:hAnsiTheme="minorHAnsi" w:cstheme="minorHAnsi"/>
                    </w:rPr>
                    <w:t xml:space="preserve"> %</w:t>
                  </w:r>
                </w:p>
              </w:tc>
              <w:tc>
                <w:tcPr>
                  <w:tcW w:w="1277" w:type="dxa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61B4" w:rsidRPr="002D4663" w:rsidTr="002D4663">
              <w:trPr>
                <w:trHeight w:val="598"/>
              </w:trPr>
              <w:tc>
                <w:tcPr>
                  <w:tcW w:w="2844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1B4" w:rsidRPr="002D4663" w:rsidRDefault="002D4663" w:rsidP="000B6F5F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1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Počet projektů se zamě</w:t>
                  </w:r>
                  <w:r w:rsidR="00DA61B4"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řením na specifické cílové skupiny – ženy a mladí lidé</w:t>
                  </w:r>
                </w:p>
              </w:tc>
              <w:tc>
                <w:tcPr>
                  <w:tcW w:w="127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6C5BF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19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06704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19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19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89 %</w:t>
                  </w:r>
                  <w:r w:rsidR="00DA61B4" w:rsidRPr="002D466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shd w:val="clear" w:color="auto" w:fill="B8CCE4" w:themeFill="accent1" w:themeFillTint="66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61B4" w:rsidRPr="002D4663" w:rsidTr="002D4663">
              <w:trPr>
                <w:trHeight w:val="598"/>
              </w:trPr>
              <w:tc>
                <w:tcPr>
                  <w:tcW w:w="2844" w:type="dxa"/>
                  <w:shd w:val="clear" w:color="auto" w:fill="548DD4" w:themeFill="text2" w:themeFillTint="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1B4" w:rsidRPr="002D4663" w:rsidRDefault="00DA61B4" w:rsidP="000B6F5F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1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Počet vytvořených nových pracovních míst</w:t>
                  </w:r>
                </w:p>
              </w:tc>
              <w:tc>
                <w:tcPr>
                  <w:tcW w:w="127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6C5BF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06704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27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0 %</w:t>
                  </w:r>
                </w:p>
              </w:tc>
              <w:tc>
                <w:tcPr>
                  <w:tcW w:w="1277" w:type="dxa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61B4" w:rsidRPr="002D4663" w:rsidTr="002D4663">
              <w:trPr>
                <w:trHeight w:val="347"/>
              </w:trPr>
              <w:tc>
                <w:tcPr>
                  <w:tcW w:w="2844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1B4" w:rsidRPr="002D4663" w:rsidRDefault="00DA61B4" w:rsidP="007624CE">
                  <w:pPr>
                    <w:snapToGrid w:val="0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2D466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Počet zapojených partnerů</w:t>
                  </w:r>
                </w:p>
              </w:tc>
              <w:tc>
                <w:tcPr>
                  <w:tcW w:w="1276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6C5BF3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42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06704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42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19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A61B4" w:rsidRPr="002D4663" w:rsidRDefault="002D4663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D4663">
                    <w:rPr>
                      <w:rFonts w:asciiTheme="minorHAnsi" w:hAnsiTheme="minorHAnsi" w:cstheme="minorHAnsi"/>
                    </w:rPr>
                    <w:t>45 %</w:t>
                  </w:r>
                </w:p>
              </w:tc>
              <w:tc>
                <w:tcPr>
                  <w:tcW w:w="1277" w:type="dxa"/>
                  <w:shd w:val="clear" w:color="auto" w:fill="B8CCE4" w:themeFill="accent1" w:themeFillTint="66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shd w:val="clear" w:color="auto" w:fill="B8CCE4" w:themeFill="accent1" w:themeFillTint="66"/>
                </w:tcPr>
                <w:p w:rsidR="00DA61B4" w:rsidRPr="002D4663" w:rsidRDefault="00DA61B4" w:rsidP="00387368">
                  <w:pPr>
                    <w:pStyle w:val="TableContents"/>
                    <w:snapToGrid w:val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E30FC2" w:rsidRPr="002D4663" w:rsidRDefault="00E30FC2" w:rsidP="00055A35">
            <w:pPr>
              <w:pStyle w:val="Nadpis2"/>
              <w:rPr>
                <w:rFonts w:asciiTheme="minorHAnsi" w:hAnsiTheme="minorHAnsi" w:cstheme="minorHAnsi"/>
              </w:rPr>
            </w:pPr>
            <w:bookmarkStart w:id="15" w:name="_Toc288643220"/>
          </w:p>
          <w:p w:rsidR="006910A2" w:rsidRPr="002D4663" w:rsidRDefault="006910A2" w:rsidP="006910A2">
            <w:pPr>
              <w:pStyle w:val="Textbody"/>
              <w:rPr>
                <w:rFonts w:asciiTheme="minorHAnsi" w:hAnsiTheme="minorHAnsi" w:cstheme="minorHAnsi"/>
              </w:rPr>
            </w:pPr>
          </w:p>
          <w:p w:rsidR="006910A2" w:rsidRPr="002D4663" w:rsidRDefault="006910A2" w:rsidP="006910A2">
            <w:pPr>
              <w:pStyle w:val="Textbody"/>
              <w:rPr>
                <w:rFonts w:asciiTheme="minorHAnsi" w:hAnsiTheme="minorHAnsi" w:cstheme="minorHAnsi"/>
              </w:rPr>
            </w:pPr>
          </w:p>
          <w:p w:rsidR="006910A2" w:rsidRPr="002D4663" w:rsidRDefault="006910A2" w:rsidP="006910A2">
            <w:pPr>
              <w:pStyle w:val="Textbody"/>
              <w:rPr>
                <w:rFonts w:asciiTheme="minorHAnsi" w:hAnsiTheme="minorHAnsi" w:cstheme="minorHAnsi"/>
              </w:rPr>
            </w:pPr>
          </w:p>
          <w:p w:rsidR="0043533B" w:rsidRPr="002D4663" w:rsidRDefault="00055A35" w:rsidP="00E30FC2">
            <w:pPr>
              <w:pStyle w:val="Nadpis2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Hodnotící otázky</w:t>
            </w:r>
            <w:bookmarkEnd w:id="15"/>
          </w:p>
          <w:p w:rsidR="00055A35" w:rsidRPr="002D4663" w:rsidRDefault="00055A35" w:rsidP="00055A35">
            <w:pPr>
              <w:pStyle w:val="Nadpis3"/>
              <w:rPr>
                <w:rFonts w:asciiTheme="minorHAnsi" w:hAnsiTheme="minorHAnsi" w:cstheme="minorHAnsi"/>
              </w:rPr>
            </w:pPr>
            <w:bookmarkStart w:id="16" w:name="_Toc288643221"/>
            <w:r w:rsidRPr="002D4663">
              <w:rPr>
                <w:rFonts w:asciiTheme="minorHAnsi" w:hAnsiTheme="minorHAnsi" w:cstheme="minorHAnsi"/>
              </w:rPr>
              <w:t>Povinné hodnotící otázky</w:t>
            </w:r>
            <w:bookmarkEnd w:id="16"/>
          </w:p>
          <w:p w:rsidR="00E30FC2" w:rsidRPr="002D4663" w:rsidRDefault="00E30FC2" w:rsidP="00E30FC2">
            <w:pPr>
              <w:pStyle w:val="Textbody"/>
              <w:rPr>
                <w:rFonts w:asciiTheme="minorHAnsi" w:hAnsiTheme="minorHAnsi" w:cstheme="minorHAnsi"/>
              </w:rPr>
            </w:pPr>
          </w:p>
          <w:p w:rsidR="00055A35" w:rsidRPr="002D4663" w:rsidRDefault="00E1620B" w:rsidP="006439FF">
            <w:pPr>
              <w:pStyle w:val="Textbody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D4663">
              <w:rPr>
                <w:rFonts w:asciiTheme="minorHAnsi" w:hAnsiTheme="minorHAnsi" w:cstheme="minorHAnsi"/>
                <w:b/>
                <w:i/>
              </w:rPr>
              <w:t>Do jaké míry napomohla podpora k dalším pracovním příležitostem ve vašem regionu?</w:t>
            </w:r>
          </w:p>
          <w:p w:rsidR="006439FF" w:rsidRPr="002D4663" w:rsidRDefault="006439FF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lastRenderedPageBreak/>
              <w:t>Díky po</w:t>
            </w:r>
            <w:r w:rsidR="006910A2" w:rsidRPr="002D4663">
              <w:rPr>
                <w:rFonts w:asciiTheme="minorHAnsi" w:hAnsiTheme="minorHAnsi" w:cstheme="minorHAnsi"/>
              </w:rPr>
              <w:t xml:space="preserve">dpoře ze zdrojů, které </w:t>
            </w:r>
            <w:proofErr w:type="gramStart"/>
            <w:r w:rsidR="006910A2" w:rsidRPr="002D4663">
              <w:rPr>
                <w:rFonts w:asciiTheme="minorHAnsi" w:hAnsiTheme="minorHAnsi" w:cstheme="minorHAnsi"/>
              </w:rPr>
              <w:t>poskytla</w:t>
            </w:r>
            <w:proofErr w:type="gramEnd"/>
            <w:r w:rsidR="006910A2" w:rsidRPr="002D4663">
              <w:rPr>
                <w:rFonts w:asciiTheme="minorHAnsi" w:hAnsiTheme="minorHAnsi" w:cstheme="minorHAnsi"/>
              </w:rPr>
              <w:t xml:space="preserve"> MAS Rožnovsko </w:t>
            </w:r>
            <w:proofErr w:type="gramStart"/>
            <w:r w:rsidR="006910A2" w:rsidRPr="002D4663">
              <w:rPr>
                <w:rFonts w:asciiTheme="minorHAnsi" w:hAnsiTheme="minorHAnsi" w:cstheme="minorHAnsi"/>
              </w:rPr>
              <w:t>nedošlo</w:t>
            </w:r>
            <w:proofErr w:type="gramEnd"/>
            <w:r w:rsidR="006910A2" w:rsidRPr="002D4663">
              <w:rPr>
                <w:rFonts w:asciiTheme="minorHAnsi" w:hAnsiTheme="minorHAnsi" w:cstheme="minorHAnsi"/>
              </w:rPr>
              <w:t xml:space="preserve"> k přímému vytvoření pracovního místa. Zaměstnanost byla kladně ovlivněna nepřímo prostřednictvím dotací do zemědělských projektů a projektů drobných podnikatelů.</w:t>
            </w:r>
            <w:r w:rsidRPr="002D4663">
              <w:rPr>
                <w:rFonts w:asciiTheme="minorHAnsi" w:hAnsiTheme="minorHAnsi" w:cstheme="minorHAnsi"/>
              </w:rPr>
              <w:t xml:space="preserve"> </w:t>
            </w:r>
          </w:p>
          <w:p w:rsidR="00E30FC2" w:rsidRPr="002D4663" w:rsidRDefault="00E30FC2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83624D" w:rsidRPr="002D4663" w:rsidRDefault="00E1620B" w:rsidP="00224EF6">
            <w:pPr>
              <w:pStyle w:val="Textbody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D4663">
              <w:rPr>
                <w:rFonts w:asciiTheme="minorHAnsi" w:hAnsiTheme="minorHAnsi" w:cstheme="minorHAnsi"/>
                <w:b/>
                <w:i/>
              </w:rPr>
              <w:t xml:space="preserve">Do jaké míry napomohla podpora k zavádění </w:t>
            </w:r>
            <w:proofErr w:type="spellStart"/>
            <w:r w:rsidRPr="002D4663">
              <w:rPr>
                <w:rFonts w:asciiTheme="minorHAnsi" w:hAnsiTheme="minorHAnsi" w:cstheme="minorHAnsi"/>
                <w:b/>
                <w:i/>
              </w:rPr>
              <w:t>víceodvětvových</w:t>
            </w:r>
            <w:proofErr w:type="spellEnd"/>
            <w:r w:rsidRPr="002D4663">
              <w:rPr>
                <w:rFonts w:asciiTheme="minorHAnsi" w:hAnsiTheme="minorHAnsi" w:cstheme="minorHAnsi"/>
                <w:b/>
                <w:i/>
              </w:rPr>
              <w:t xml:space="preserve"> přístupů ve vašem regionu?</w:t>
            </w:r>
          </w:p>
          <w:p w:rsidR="00E30FC2" w:rsidRPr="002D4663" w:rsidRDefault="008847AB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Mnoho projektů realizovaných v rámci opatření </w:t>
            </w:r>
            <w:proofErr w:type="gramStart"/>
            <w:r w:rsidRPr="002D4663">
              <w:rPr>
                <w:rFonts w:asciiTheme="minorHAnsi" w:hAnsiTheme="minorHAnsi" w:cstheme="minorHAnsi"/>
              </w:rPr>
              <w:t>IV.1.2</w:t>
            </w:r>
            <w:proofErr w:type="gramEnd"/>
            <w:r w:rsidRPr="002D4663">
              <w:rPr>
                <w:rFonts w:asciiTheme="minorHAnsi" w:hAnsiTheme="minorHAnsi" w:cstheme="minorHAnsi"/>
              </w:rPr>
              <w:t xml:space="preserve"> vzniklo za výrazné podpory a spolupráce mezi obcemi a jejich obyvateli, občany dotčených obcí. Projektové záměry se probíraly na komunitní úrovni, kdy docházelo k výměně názorů mezi zástupci obcí a občany a došlo tak k výběru a volbě ideální varia</w:t>
            </w:r>
            <w:r w:rsidR="00011E0E" w:rsidRPr="002D4663">
              <w:rPr>
                <w:rFonts w:asciiTheme="minorHAnsi" w:hAnsiTheme="minorHAnsi" w:cstheme="minorHAnsi"/>
              </w:rPr>
              <w:t xml:space="preserve">nty. Tento způsob </w:t>
            </w:r>
            <w:r w:rsidR="00E4739B" w:rsidRPr="002D4663">
              <w:rPr>
                <w:rFonts w:asciiTheme="minorHAnsi" w:hAnsiTheme="minorHAnsi" w:cstheme="minorHAnsi"/>
              </w:rPr>
              <w:t>„</w:t>
            </w:r>
            <w:proofErr w:type="spellStart"/>
            <w:r w:rsidR="00E4739B" w:rsidRPr="002D4663">
              <w:rPr>
                <w:rFonts w:asciiTheme="minorHAnsi" w:hAnsiTheme="minorHAnsi" w:cstheme="minorHAnsi"/>
              </w:rPr>
              <w:t>víceodvětvového</w:t>
            </w:r>
            <w:proofErr w:type="spellEnd"/>
            <w:r w:rsidR="00E4739B" w:rsidRPr="002D4663">
              <w:rPr>
                <w:rFonts w:asciiTheme="minorHAnsi" w:hAnsiTheme="minorHAnsi" w:cstheme="minorHAnsi"/>
              </w:rPr>
              <w:t xml:space="preserve"> přístupu“ bude i nadále v našem regionu podporován</w:t>
            </w:r>
            <w:r w:rsidR="00501979" w:rsidRPr="002D4663">
              <w:rPr>
                <w:rFonts w:asciiTheme="minorHAnsi" w:hAnsiTheme="minorHAnsi" w:cstheme="minorHAnsi"/>
              </w:rPr>
              <w:t xml:space="preserve"> a sledován</w:t>
            </w:r>
            <w:r w:rsidR="00E4739B" w:rsidRPr="002D4663">
              <w:rPr>
                <w:rFonts w:asciiTheme="minorHAnsi" w:hAnsiTheme="minorHAnsi" w:cstheme="minorHAnsi"/>
              </w:rPr>
              <w:t>.</w:t>
            </w:r>
          </w:p>
          <w:p w:rsidR="00224EF6" w:rsidRPr="002D4663" w:rsidRDefault="00E4739B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 </w:t>
            </w:r>
          </w:p>
          <w:p w:rsidR="00E1620B" w:rsidRPr="002D4663" w:rsidRDefault="00E1620B" w:rsidP="006439FF">
            <w:pPr>
              <w:pStyle w:val="Textbody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D4663">
              <w:rPr>
                <w:rFonts w:asciiTheme="minorHAnsi" w:hAnsiTheme="minorHAnsi" w:cstheme="minorHAnsi"/>
                <w:b/>
                <w:i/>
              </w:rPr>
              <w:t>Do jaké míry napomohla podpora k zavádění inovačních přístupů ve vašem regionu?</w:t>
            </w:r>
          </w:p>
          <w:p w:rsidR="002F377A" w:rsidRPr="002D4663" w:rsidRDefault="002F377A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Na inovace je v našem regionu zaměřeno mnoho projektů. Došlo například k zakoupení nových strojů nebo technologií, které nejsou v dané oblasti běžně dostupné a mají přidanou hodnotu pro žadatele.</w:t>
            </w:r>
          </w:p>
          <w:p w:rsidR="00E30FC2" w:rsidRPr="002D4663" w:rsidRDefault="00E30FC2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E1620B" w:rsidRPr="002D4663" w:rsidRDefault="00E1620B" w:rsidP="006439FF">
            <w:pPr>
              <w:pStyle w:val="Textbody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D4663">
              <w:rPr>
                <w:rFonts w:asciiTheme="minorHAnsi" w:hAnsiTheme="minorHAnsi" w:cstheme="minorHAnsi"/>
                <w:b/>
                <w:i/>
              </w:rPr>
              <w:t>Napomohla podpora k většímu zapojení mladých lidí do dění v regionu?</w:t>
            </w:r>
          </w:p>
          <w:p w:rsidR="002B2E41" w:rsidRPr="002D4663" w:rsidRDefault="00BD3424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Podpora z prostředků MAS bezesporu napomohla k zapojení mladých lidí od dění v regionu, především díky tomu, že došlo k </w:t>
            </w:r>
            <w:r w:rsidR="004F6B07" w:rsidRPr="002D4663">
              <w:rPr>
                <w:rFonts w:asciiTheme="minorHAnsi" w:hAnsiTheme="minorHAnsi" w:cstheme="minorHAnsi"/>
              </w:rPr>
              <w:t>výstavbě</w:t>
            </w:r>
            <w:r w:rsidRPr="002D4663">
              <w:rPr>
                <w:rFonts w:asciiTheme="minorHAnsi" w:hAnsiTheme="minorHAnsi" w:cstheme="minorHAnsi"/>
              </w:rPr>
              <w:t xml:space="preserve"> několika </w:t>
            </w:r>
            <w:r w:rsidR="004F6B07" w:rsidRPr="002D4663">
              <w:rPr>
                <w:rFonts w:asciiTheme="minorHAnsi" w:hAnsiTheme="minorHAnsi" w:cstheme="minorHAnsi"/>
              </w:rPr>
              <w:t>dětských hřišť a podpory sportovních areálů. Tyto slouží m</w:t>
            </w:r>
            <w:r w:rsidR="002B2E41" w:rsidRPr="002D4663">
              <w:rPr>
                <w:rFonts w:asciiTheme="minorHAnsi" w:hAnsiTheme="minorHAnsi" w:cstheme="minorHAnsi"/>
              </w:rPr>
              <w:t>ládeži, ale i mladým rodinám s dětmi, které tyto místa hojně využívají.</w:t>
            </w:r>
          </w:p>
          <w:p w:rsidR="00E30FC2" w:rsidRPr="002D4663" w:rsidRDefault="00E30FC2" w:rsidP="00E30FC2">
            <w:pPr>
              <w:pStyle w:val="Textbody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E1620B" w:rsidRPr="002D4663" w:rsidRDefault="00E1620B" w:rsidP="006439FF">
            <w:pPr>
              <w:pStyle w:val="Textbody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D4663">
              <w:rPr>
                <w:rFonts w:asciiTheme="minorHAnsi" w:hAnsiTheme="minorHAnsi" w:cstheme="minorHAnsi"/>
                <w:b/>
                <w:i/>
              </w:rPr>
              <w:t>Napomohla podpora k většímu zapojení žen do dění v regionu?</w:t>
            </w:r>
          </w:p>
          <w:p w:rsidR="00671254" w:rsidRPr="002D4663" w:rsidRDefault="004F6B07" w:rsidP="00E30FC2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>Kladný vliv na ženy má valná většina projektů realizovaných prostřednictvím MAS Rožnovsko. Jde zejména o dětská hřiště, ale také rekonstrukce různých společenských místností následně využívaných pro cvičení.</w:t>
            </w:r>
            <w:r w:rsidR="00AE1CE4" w:rsidRPr="002D4663">
              <w:rPr>
                <w:rFonts w:asciiTheme="minorHAnsi" w:hAnsiTheme="minorHAnsi" w:cstheme="minorHAnsi"/>
              </w:rPr>
              <w:t xml:space="preserve">  </w:t>
            </w:r>
            <w:r w:rsidR="00893481" w:rsidRPr="002D4663">
              <w:rPr>
                <w:rFonts w:asciiTheme="minorHAnsi" w:hAnsiTheme="minorHAnsi" w:cstheme="minorHAnsi"/>
              </w:rPr>
              <w:t xml:space="preserve">Na ženy je </w:t>
            </w:r>
            <w:r w:rsidRPr="002D4663">
              <w:rPr>
                <w:rFonts w:asciiTheme="minorHAnsi" w:hAnsiTheme="minorHAnsi" w:cstheme="minorHAnsi"/>
              </w:rPr>
              <w:t xml:space="preserve">zaměřeno i několik zemědělských </w:t>
            </w:r>
            <w:r w:rsidR="00893481" w:rsidRPr="002D4663">
              <w:rPr>
                <w:rFonts w:asciiTheme="minorHAnsi" w:hAnsiTheme="minorHAnsi" w:cstheme="minorHAnsi"/>
              </w:rPr>
              <w:t>projektů, kdy jejich výstupy využívají převážně ženy a značně jim ulehčují a zefektivňují práci.</w:t>
            </w:r>
          </w:p>
          <w:p w:rsidR="00E1620B" w:rsidRPr="002D4663" w:rsidRDefault="00E1620B" w:rsidP="00E1620B">
            <w:pPr>
              <w:pStyle w:val="Textbody"/>
              <w:rPr>
                <w:rFonts w:asciiTheme="minorHAnsi" w:hAnsiTheme="minorHAnsi" w:cstheme="minorHAnsi"/>
              </w:rPr>
            </w:pPr>
          </w:p>
          <w:p w:rsidR="004F55DF" w:rsidRPr="002D4663" w:rsidRDefault="004F55DF" w:rsidP="00CA4448">
            <w:pPr>
              <w:pStyle w:val="Nadpis1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bookmarkStart w:id="17" w:name="_Toc288643223"/>
            <w:r w:rsidRPr="002D4663">
              <w:rPr>
                <w:rFonts w:asciiTheme="minorHAnsi" w:hAnsiTheme="minorHAnsi" w:cstheme="minorHAnsi"/>
              </w:rPr>
              <w:t>Závěry a doporučení</w:t>
            </w:r>
            <w:bookmarkEnd w:id="17"/>
          </w:p>
          <w:p w:rsidR="00E30FC2" w:rsidRPr="002D4663" w:rsidRDefault="00E30FC2">
            <w:pPr>
              <w:pStyle w:val="Textbody"/>
              <w:rPr>
                <w:rFonts w:asciiTheme="minorHAnsi" w:hAnsiTheme="minorHAnsi" w:cstheme="minorHAnsi"/>
              </w:rPr>
            </w:pPr>
          </w:p>
          <w:p w:rsidR="001A52C3" w:rsidRPr="002D4663" w:rsidRDefault="004F55DF">
            <w:pPr>
              <w:pStyle w:val="Textbody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(míra dosažení cílů, rovnováha mezi </w:t>
            </w:r>
            <w:proofErr w:type="spellStart"/>
            <w:r w:rsidRPr="002D4663">
              <w:rPr>
                <w:rFonts w:asciiTheme="minorHAnsi" w:hAnsiTheme="minorHAnsi" w:cstheme="minorHAnsi"/>
              </w:rPr>
              <w:t>fichemi</w:t>
            </w:r>
            <w:proofErr w:type="spellEnd"/>
            <w:r w:rsidRPr="002D4663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D4663">
              <w:rPr>
                <w:rFonts w:asciiTheme="minorHAnsi" w:hAnsiTheme="minorHAnsi" w:cstheme="minorHAnsi"/>
              </w:rPr>
              <w:t>spl</w:t>
            </w:r>
            <w:proofErr w:type="spellEnd"/>
            <w:r w:rsidRPr="002D4663">
              <w:rPr>
                <w:rFonts w:asciiTheme="minorHAnsi" w:hAnsiTheme="minorHAnsi" w:cstheme="minorHAnsi"/>
              </w:rPr>
              <w:t>)</w:t>
            </w:r>
          </w:p>
          <w:p w:rsidR="001B00FC" w:rsidRPr="002D4663" w:rsidRDefault="00C41CBB" w:rsidP="001B00FC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Z výše </w:t>
            </w:r>
            <w:r w:rsidR="005445B6" w:rsidRPr="002D4663">
              <w:rPr>
                <w:rFonts w:asciiTheme="minorHAnsi" w:hAnsiTheme="minorHAnsi" w:cstheme="minorHAnsi"/>
              </w:rPr>
              <w:t>uvedených dat</w:t>
            </w:r>
            <w:r w:rsidRPr="002D4663">
              <w:rPr>
                <w:rFonts w:asciiTheme="minorHAnsi" w:hAnsiTheme="minorHAnsi" w:cstheme="minorHAnsi"/>
              </w:rPr>
              <w:t xml:space="preserve"> lze vyvodit, že by mělo dojít k aktualizaci SPL.</w:t>
            </w:r>
            <w:r w:rsidR="001B00FC" w:rsidRPr="002D4663">
              <w:rPr>
                <w:rFonts w:asciiTheme="minorHAnsi" w:hAnsiTheme="minorHAnsi" w:cstheme="minorHAnsi"/>
              </w:rPr>
              <w:t xml:space="preserve"> Při porovnání finančního plánu obsaženého v SPL a skutečného čerpání prostředků na jednotlivé </w:t>
            </w:r>
            <w:proofErr w:type="spellStart"/>
            <w:r w:rsidR="001B00FC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1B00FC" w:rsidRPr="002D4663">
              <w:rPr>
                <w:rFonts w:asciiTheme="minorHAnsi" w:hAnsiTheme="minorHAnsi" w:cstheme="minorHAnsi"/>
              </w:rPr>
              <w:t xml:space="preserve"> je vidět, že tento plán musí také projít aktualizací. </w:t>
            </w:r>
            <w:r w:rsidRPr="002D4663">
              <w:rPr>
                <w:rFonts w:asciiTheme="minorHAnsi" w:hAnsiTheme="minorHAnsi" w:cstheme="minorHAnsi"/>
              </w:rPr>
              <w:t xml:space="preserve">Dle procentuálního vyjádření </w:t>
            </w:r>
            <w:r w:rsidR="001B00FC" w:rsidRPr="002D4663">
              <w:rPr>
                <w:rFonts w:asciiTheme="minorHAnsi" w:hAnsiTheme="minorHAnsi" w:cstheme="minorHAnsi"/>
              </w:rPr>
              <w:t>čerpání rozpočtu na jednotli</w:t>
            </w:r>
            <w:r w:rsidR="002D4663" w:rsidRPr="002D4663">
              <w:rPr>
                <w:rFonts w:asciiTheme="minorHAnsi" w:hAnsiTheme="minorHAnsi" w:cstheme="minorHAnsi"/>
              </w:rPr>
              <w:t xml:space="preserve">vé </w:t>
            </w:r>
            <w:proofErr w:type="spellStart"/>
            <w:r w:rsidR="002D4663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2D4663" w:rsidRPr="002D4663">
              <w:rPr>
                <w:rFonts w:asciiTheme="minorHAnsi" w:hAnsiTheme="minorHAnsi" w:cstheme="minorHAnsi"/>
              </w:rPr>
              <w:t xml:space="preserve"> je zřejmé, že u </w:t>
            </w:r>
            <w:proofErr w:type="spellStart"/>
            <w:r w:rsidR="002D4663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2D4663" w:rsidRPr="002D4663">
              <w:rPr>
                <w:rFonts w:asciiTheme="minorHAnsi" w:hAnsiTheme="minorHAnsi" w:cstheme="minorHAnsi"/>
              </w:rPr>
              <w:t xml:space="preserve"> </w:t>
            </w:r>
            <w:r w:rsidR="002D4663" w:rsidRPr="002D4663">
              <w:rPr>
                <w:rFonts w:asciiTheme="minorHAnsi" w:hAnsiTheme="minorHAnsi" w:cstheme="minorHAnsi"/>
              </w:rPr>
              <w:lastRenderedPageBreak/>
              <w:t xml:space="preserve">2 a </w:t>
            </w:r>
            <w:proofErr w:type="spellStart"/>
            <w:r w:rsidR="002D4663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2D4663" w:rsidRPr="002D4663">
              <w:rPr>
                <w:rFonts w:asciiTheme="minorHAnsi" w:hAnsiTheme="minorHAnsi" w:cstheme="minorHAnsi"/>
              </w:rPr>
              <w:t xml:space="preserve"> 5</w:t>
            </w:r>
            <w:r w:rsidR="001B00FC" w:rsidRPr="002D4663">
              <w:rPr>
                <w:rFonts w:asciiTheme="minorHAnsi" w:hAnsiTheme="minorHAnsi" w:cstheme="minorHAnsi"/>
              </w:rPr>
              <w:t xml:space="preserve"> je nejvíce </w:t>
            </w:r>
            <w:r w:rsidR="00C84646" w:rsidRPr="002D4663">
              <w:rPr>
                <w:rFonts w:asciiTheme="minorHAnsi" w:hAnsiTheme="minorHAnsi" w:cstheme="minorHAnsi"/>
              </w:rPr>
              <w:t>vy</w:t>
            </w:r>
            <w:r w:rsidR="001B00FC" w:rsidRPr="002D4663">
              <w:rPr>
                <w:rFonts w:asciiTheme="minorHAnsi" w:hAnsiTheme="minorHAnsi" w:cstheme="minorHAnsi"/>
              </w:rPr>
              <w:t xml:space="preserve">čerpaných finančních prostředků </w:t>
            </w:r>
            <w:r w:rsidR="00C84646" w:rsidRPr="002D4663">
              <w:rPr>
                <w:rFonts w:asciiTheme="minorHAnsi" w:hAnsiTheme="minorHAnsi" w:cstheme="minorHAnsi"/>
              </w:rPr>
              <w:t>a je o ně největší zájem.</w:t>
            </w:r>
          </w:p>
          <w:p w:rsidR="00C84646" w:rsidRPr="002D4663" w:rsidRDefault="002D4663" w:rsidP="001B00FC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Fiche</w:t>
            </w:r>
            <w:proofErr w:type="spellEnd"/>
            <w:r>
              <w:rPr>
                <w:rFonts w:asciiTheme="minorHAnsi" w:hAnsiTheme="minorHAnsi" w:cstheme="minorHAnsi"/>
              </w:rPr>
              <w:t xml:space="preserve"> 4 Podpora podnikání v regionu je čerpána pouze nepatrně a </w:t>
            </w:r>
            <w:proofErr w:type="spellStart"/>
            <w:r>
              <w:rPr>
                <w:rFonts w:asciiTheme="minorHAnsi" w:hAnsiTheme="minorHAnsi" w:cstheme="minorHAnsi"/>
              </w:rPr>
              <w:t>Fiche</w:t>
            </w:r>
            <w:proofErr w:type="spellEnd"/>
            <w:r>
              <w:rPr>
                <w:rFonts w:asciiTheme="minorHAnsi" w:hAnsiTheme="minorHAnsi" w:cstheme="minorHAnsi"/>
              </w:rPr>
              <w:t xml:space="preserve"> 3 Podpora cestovního ruchu a </w:t>
            </w:r>
            <w:proofErr w:type="spellStart"/>
            <w:r>
              <w:rPr>
                <w:rFonts w:asciiTheme="minorHAnsi" w:hAnsiTheme="minorHAnsi" w:cstheme="minorHAnsi"/>
              </w:rPr>
              <w:t>Fiche</w:t>
            </w:r>
            <w:proofErr w:type="spellEnd"/>
            <w:r>
              <w:rPr>
                <w:rFonts w:asciiTheme="minorHAnsi" w:hAnsiTheme="minorHAnsi" w:cstheme="minorHAnsi"/>
              </w:rPr>
              <w:t xml:space="preserve"> 6 </w:t>
            </w:r>
            <w:proofErr w:type="spellStart"/>
            <w:r>
              <w:rPr>
                <w:rFonts w:asciiTheme="minorHAnsi" w:hAnsiTheme="minorHAnsi" w:cstheme="minorHAnsi"/>
              </w:rPr>
              <w:t>Investce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lesů nebyla čerpána zatím vůbec, </w:t>
            </w:r>
            <w:proofErr w:type="spellStart"/>
            <w:r>
              <w:rPr>
                <w:rFonts w:asciiTheme="minorHAnsi" w:hAnsiTheme="minorHAnsi" w:cstheme="minorHAnsi"/>
              </w:rPr>
              <w:t>ikdyž</w:t>
            </w:r>
            <w:proofErr w:type="spellEnd"/>
            <w:r>
              <w:rPr>
                <w:rFonts w:asciiTheme="minorHAnsi" w:hAnsiTheme="minorHAnsi" w:cstheme="minorHAnsi"/>
              </w:rPr>
              <w:t xml:space="preserve"> byly obě obsaženy celkem ve dvou výzvách</w:t>
            </w:r>
            <w:r w:rsidR="004D2BF1" w:rsidRPr="002D4663">
              <w:rPr>
                <w:rFonts w:asciiTheme="minorHAnsi" w:hAnsiTheme="minorHAnsi" w:cstheme="minorHAnsi"/>
              </w:rPr>
              <w:t>.</w:t>
            </w:r>
          </w:p>
          <w:p w:rsidR="001B00FC" w:rsidRDefault="006E173A" w:rsidP="002E784B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Výše uvedené skutečnosti naznačují, že by </w:t>
            </w:r>
            <w:r w:rsidR="001B00FC" w:rsidRPr="002D4663">
              <w:rPr>
                <w:rFonts w:asciiTheme="minorHAnsi" w:hAnsiTheme="minorHAnsi" w:cstheme="minorHAnsi"/>
              </w:rPr>
              <w:t xml:space="preserve">mělo dojít k zásadní úpravě finančního plánu dle množství jednotlivých žádostí na </w:t>
            </w:r>
            <w:r w:rsidRPr="002D4663">
              <w:rPr>
                <w:rFonts w:asciiTheme="minorHAnsi" w:hAnsiTheme="minorHAnsi" w:cstheme="minorHAnsi"/>
              </w:rPr>
              <w:t xml:space="preserve">konkrétní </w:t>
            </w:r>
            <w:proofErr w:type="spellStart"/>
            <w:r w:rsidR="001B00FC" w:rsidRPr="002D4663">
              <w:rPr>
                <w:rFonts w:asciiTheme="minorHAnsi" w:hAnsiTheme="minorHAnsi" w:cstheme="minorHAnsi"/>
              </w:rPr>
              <w:t>Fiche</w:t>
            </w:r>
            <w:proofErr w:type="spellEnd"/>
            <w:r w:rsidR="001B00FC" w:rsidRPr="002D4663">
              <w:rPr>
                <w:rFonts w:asciiTheme="minorHAnsi" w:hAnsiTheme="minorHAnsi" w:cstheme="minorHAnsi"/>
              </w:rPr>
              <w:t>.</w:t>
            </w:r>
          </w:p>
          <w:p w:rsidR="00EE235D" w:rsidRPr="002D4663" w:rsidRDefault="00EE235D" w:rsidP="002E784B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základě této evaluace bude navržena změna preferenčních kritérií, která by měla napomoci narovnat nesoulady při skutečném čerpání alokovaných prostředků.</w:t>
            </w:r>
          </w:p>
          <w:p w:rsidR="001A52C3" w:rsidRPr="002D4663" w:rsidRDefault="000D7395">
            <w:pPr>
              <w:pStyle w:val="Textbody"/>
              <w:rPr>
                <w:rFonts w:asciiTheme="minorHAnsi" w:hAnsiTheme="minorHAnsi" w:cstheme="minorHAnsi"/>
              </w:rPr>
            </w:pPr>
            <w:r w:rsidRPr="002D4663">
              <w:rPr>
                <w:rFonts w:asciiTheme="minorHAnsi" w:hAnsiTheme="minorHAnsi" w:cstheme="minorHAnsi"/>
              </w:rPr>
              <w:t xml:space="preserve">Monitorovací indikátory jsou z velké části naplněny. </w:t>
            </w:r>
            <w:r w:rsidR="002D4663">
              <w:rPr>
                <w:rFonts w:asciiTheme="minorHAnsi" w:hAnsiTheme="minorHAnsi" w:cstheme="minorHAnsi"/>
              </w:rPr>
              <w:t>Rezervy vidíme hlavně u vytváření pracovních míst a podpory podnikatelských subjektů</w:t>
            </w:r>
            <w:r w:rsidR="00314E9A" w:rsidRPr="002D4663">
              <w:rPr>
                <w:rFonts w:asciiTheme="minorHAnsi" w:hAnsiTheme="minorHAnsi" w:cstheme="minorHAnsi"/>
              </w:rPr>
              <w:t>.</w:t>
            </w:r>
          </w:p>
          <w:p w:rsidR="00A300D2" w:rsidRPr="002D4663" w:rsidRDefault="00A300D2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</w:tbl>
    <w:p w:rsidR="00506CFD" w:rsidRDefault="00506CFD">
      <w:pPr>
        <w:pStyle w:val="Standard"/>
      </w:pPr>
      <w:bookmarkStart w:id="18" w:name="_GoBack"/>
      <w:bookmarkEnd w:id="18"/>
    </w:p>
    <w:sectPr w:rsidR="00506CFD" w:rsidSect="00205986">
      <w:headerReference w:type="default" r:id="rId9"/>
      <w:footerReference w:type="default" r:id="rId10"/>
      <w:pgSz w:w="11906" w:h="16838"/>
      <w:pgMar w:top="1411" w:right="283" w:bottom="1847" w:left="283" w:header="283" w:footer="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C" w:rsidRDefault="00B600EC">
      <w:r>
        <w:separator/>
      </w:r>
    </w:p>
  </w:endnote>
  <w:endnote w:type="continuationSeparator" w:id="0">
    <w:p w:rsidR="00B600EC" w:rsidRDefault="00B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DejaVu Sans">
    <w:altName w:val="Arial"/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pat"/>
    </w:pPr>
    <w:r>
      <w:tab/>
    </w:r>
    <w:r>
      <w:tab/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361474" w:rsidRDefault="00361474" w:rsidP="00361474">
    <w:pPr>
      <w:pStyle w:val="Zpat"/>
    </w:pPr>
    <w:r>
      <w:tab/>
    </w:r>
    <w:r>
      <w:tab/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  <w:p w:rsidR="00361474" w:rsidRDefault="00361474" w:rsidP="00361474">
    <w:pPr>
      <w:pStyle w:val="Zpat"/>
    </w:pPr>
  </w:p>
  <w:p w:rsidR="00361474" w:rsidRDefault="00361474" w:rsidP="00361474">
    <w:pPr>
      <w:pStyle w:val="Zpat"/>
      <w:tabs>
        <w:tab w:val="clear" w:pos="5670"/>
        <w:tab w:val="clear" w:pos="11340"/>
        <w:tab w:val="left" w:pos="3104"/>
      </w:tabs>
    </w:pPr>
  </w:p>
  <w:p w:rsidR="00361474" w:rsidRDefault="003614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C" w:rsidRDefault="00B600EC">
      <w:r>
        <w:rPr>
          <w:color w:val="000000"/>
        </w:rPr>
        <w:separator/>
      </w:r>
    </w:p>
  </w:footnote>
  <w:footnote w:type="continuationSeparator" w:id="0">
    <w:p w:rsidR="00B600EC" w:rsidRDefault="00B6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5A075910" wp14:editId="66F0B3AB">
          <wp:extent cx="1080770" cy="724535"/>
          <wp:effectExtent l="0" t="0" r="5080" b="0"/>
          <wp:docPr id="6" name="Obrázek 6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3B29A6CD" wp14:editId="47F0CDBB">
          <wp:extent cx="795655" cy="724535"/>
          <wp:effectExtent l="0" t="0" r="4445" b="0"/>
          <wp:docPr id="5" name="Obrázek 5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7C114ECE" wp14:editId="3F0926CD">
          <wp:extent cx="1151890" cy="724535"/>
          <wp:effectExtent l="0" t="0" r="0" b="0"/>
          <wp:docPr id="4" name="Obrázek 4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5D226AF3" wp14:editId="0C6DDC60">
          <wp:extent cx="2529205" cy="487045"/>
          <wp:effectExtent l="0" t="0" r="4445" b="8255"/>
          <wp:docPr id="3" name="Obrázek 3" descr="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474" w:rsidRDefault="00361474" w:rsidP="00361474">
    <w:pPr>
      <w:pStyle w:val="Zhlav"/>
      <w:jc w:val="center"/>
    </w:pPr>
  </w:p>
  <w:p w:rsidR="00361474" w:rsidRDefault="00361474" w:rsidP="00361474">
    <w:pPr>
      <w:pStyle w:val="Zhlav"/>
      <w:jc w:val="center"/>
    </w:pPr>
    <w:r>
      <w:t>Evropský zemědělský fond pro rozvoj venkova: Evropa investuje do venkovských oblastí</w:t>
    </w:r>
  </w:p>
  <w:p w:rsidR="00CA5EEA" w:rsidRDefault="00EE23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A00"/>
    <w:multiLevelType w:val="hybridMultilevel"/>
    <w:tmpl w:val="0D20F984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1E48"/>
    <w:multiLevelType w:val="hybridMultilevel"/>
    <w:tmpl w:val="EECC9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352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097B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A55E56"/>
    <w:multiLevelType w:val="multilevel"/>
    <w:tmpl w:val="C1B0114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C160F5F"/>
    <w:multiLevelType w:val="hybridMultilevel"/>
    <w:tmpl w:val="B60A0F62"/>
    <w:lvl w:ilvl="0" w:tplc="07A241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D4810"/>
    <w:multiLevelType w:val="hybridMultilevel"/>
    <w:tmpl w:val="B846DF52"/>
    <w:lvl w:ilvl="0" w:tplc="3CB20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F411B"/>
    <w:multiLevelType w:val="multilevel"/>
    <w:tmpl w:val="D40EB62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</w:abstractNum>
  <w:abstractNum w:abstractNumId="8">
    <w:nsid w:val="481C0E5A"/>
    <w:multiLevelType w:val="hybridMultilevel"/>
    <w:tmpl w:val="A2DA3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22BD3"/>
    <w:multiLevelType w:val="hybridMultilevel"/>
    <w:tmpl w:val="9168DFD2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5753834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86B3A00"/>
    <w:multiLevelType w:val="hybridMultilevel"/>
    <w:tmpl w:val="CD8C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30CC3"/>
    <w:multiLevelType w:val="hybridMultilevel"/>
    <w:tmpl w:val="C8A4E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16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AE355A"/>
    <w:multiLevelType w:val="multilevel"/>
    <w:tmpl w:val="AB603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03EDC"/>
    <w:multiLevelType w:val="hybridMultilevel"/>
    <w:tmpl w:val="80D02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D"/>
    <w:rsid w:val="00011E0E"/>
    <w:rsid w:val="00013FF1"/>
    <w:rsid w:val="00055A35"/>
    <w:rsid w:val="000569AF"/>
    <w:rsid w:val="0006521E"/>
    <w:rsid w:val="00082E93"/>
    <w:rsid w:val="000834F7"/>
    <w:rsid w:val="00094552"/>
    <w:rsid w:val="000A0455"/>
    <w:rsid w:val="000B029C"/>
    <w:rsid w:val="000B6F5F"/>
    <w:rsid w:val="000D7395"/>
    <w:rsid w:val="00116163"/>
    <w:rsid w:val="001261FA"/>
    <w:rsid w:val="00131B71"/>
    <w:rsid w:val="00150818"/>
    <w:rsid w:val="001550C3"/>
    <w:rsid w:val="00160E20"/>
    <w:rsid w:val="0017490E"/>
    <w:rsid w:val="00175920"/>
    <w:rsid w:val="001843B2"/>
    <w:rsid w:val="00196A64"/>
    <w:rsid w:val="001A52C3"/>
    <w:rsid w:val="001A53B9"/>
    <w:rsid w:val="001B00FC"/>
    <w:rsid w:val="001B431E"/>
    <w:rsid w:val="001B6BE1"/>
    <w:rsid w:val="001B7D1A"/>
    <w:rsid w:val="001C65DE"/>
    <w:rsid w:val="001E2249"/>
    <w:rsid w:val="001F195F"/>
    <w:rsid w:val="00203C97"/>
    <w:rsid w:val="00205986"/>
    <w:rsid w:val="00212000"/>
    <w:rsid w:val="00224EF6"/>
    <w:rsid w:val="00232344"/>
    <w:rsid w:val="00257C60"/>
    <w:rsid w:val="0028349E"/>
    <w:rsid w:val="00287E83"/>
    <w:rsid w:val="002A25B2"/>
    <w:rsid w:val="002B2958"/>
    <w:rsid w:val="002B2E41"/>
    <w:rsid w:val="002B7D52"/>
    <w:rsid w:val="002D4663"/>
    <w:rsid w:val="002E1B6C"/>
    <w:rsid w:val="002E562A"/>
    <w:rsid w:val="002E784B"/>
    <w:rsid w:val="002F377A"/>
    <w:rsid w:val="00314E9A"/>
    <w:rsid w:val="00317A61"/>
    <w:rsid w:val="0032405E"/>
    <w:rsid w:val="003439CD"/>
    <w:rsid w:val="00361474"/>
    <w:rsid w:val="00366202"/>
    <w:rsid w:val="00387368"/>
    <w:rsid w:val="003A3815"/>
    <w:rsid w:val="003F6BDA"/>
    <w:rsid w:val="004104EF"/>
    <w:rsid w:val="00432FA4"/>
    <w:rsid w:val="0043533B"/>
    <w:rsid w:val="00453D79"/>
    <w:rsid w:val="00461EE5"/>
    <w:rsid w:val="004A6159"/>
    <w:rsid w:val="004C41BE"/>
    <w:rsid w:val="004C6589"/>
    <w:rsid w:val="004D2BF1"/>
    <w:rsid w:val="004F26AB"/>
    <w:rsid w:val="004F55DF"/>
    <w:rsid w:val="004F6B07"/>
    <w:rsid w:val="004F6C52"/>
    <w:rsid w:val="00501979"/>
    <w:rsid w:val="00506CFD"/>
    <w:rsid w:val="005309C2"/>
    <w:rsid w:val="005445B6"/>
    <w:rsid w:val="00556279"/>
    <w:rsid w:val="00584CF5"/>
    <w:rsid w:val="005D7D69"/>
    <w:rsid w:val="005F5EF8"/>
    <w:rsid w:val="00616095"/>
    <w:rsid w:val="00616E16"/>
    <w:rsid w:val="00624F00"/>
    <w:rsid w:val="006361DB"/>
    <w:rsid w:val="006439FF"/>
    <w:rsid w:val="006676C1"/>
    <w:rsid w:val="006708A0"/>
    <w:rsid w:val="00671254"/>
    <w:rsid w:val="00677737"/>
    <w:rsid w:val="00682659"/>
    <w:rsid w:val="006910A2"/>
    <w:rsid w:val="006A3CD5"/>
    <w:rsid w:val="006C5BF3"/>
    <w:rsid w:val="006D6247"/>
    <w:rsid w:val="006E173A"/>
    <w:rsid w:val="006E2D85"/>
    <w:rsid w:val="006F46A1"/>
    <w:rsid w:val="00720F5C"/>
    <w:rsid w:val="00723893"/>
    <w:rsid w:val="0072665B"/>
    <w:rsid w:val="00731556"/>
    <w:rsid w:val="007375EA"/>
    <w:rsid w:val="00744BE7"/>
    <w:rsid w:val="00745785"/>
    <w:rsid w:val="0075267A"/>
    <w:rsid w:val="007C4D6D"/>
    <w:rsid w:val="007E126C"/>
    <w:rsid w:val="00802DB9"/>
    <w:rsid w:val="008251C6"/>
    <w:rsid w:val="008253B1"/>
    <w:rsid w:val="0083624D"/>
    <w:rsid w:val="008504A8"/>
    <w:rsid w:val="00867D96"/>
    <w:rsid w:val="008847AB"/>
    <w:rsid w:val="00893481"/>
    <w:rsid w:val="008A4759"/>
    <w:rsid w:val="008D38F2"/>
    <w:rsid w:val="008D49C5"/>
    <w:rsid w:val="008F776A"/>
    <w:rsid w:val="0091398D"/>
    <w:rsid w:val="0095341B"/>
    <w:rsid w:val="00955BDF"/>
    <w:rsid w:val="00957271"/>
    <w:rsid w:val="009A0223"/>
    <w:rsid w:val="009A53C7"/>
    <w:rsid w:val="009B3869"/>
    <w:rsid w:val="009D37F3"/>
    <w:rsid w:val="009F5CBE"/>
    <w:rsid w:val="00A05B55"/>
    <w:rsid w:val="00A15986"/>
    <w:rsid w:val="00A300D2"/>
    <w:rsid w:val="00A85E4D"/>
    <w:rsid w:val="00AA4FC9"/>
    <w:rsid w:val="00AA7191"/>
    <w:rsid w:val="00AE1CE4"/>
    <w:rsid w:val="00AE6789"/>
    <w:rsid w:val="00AF27A9"/>
    <w:rsid w:val="00B268DA"/>
    <w:rsid w:val="00B31FBF"/>
    <w:rsid w:val="00B46477"/>
    <w:rsid w:val="00B600EC"/>
    <w:rsid w:val="00B641A1"/>
    <w:rsid w:val="00B76F91"/>
    <w:rsid w:val="00B86EF5"/>
    <w:rsid w:val="00B9492D"/>
    <w:rsid w:val="00BC0130"/>
    <w:rsid w:val="00BD3424"/>
    <w:rsid w:val="00BE76C7"/>
    <w:rsid w:val="00BF26DA"/>
    <w:rsid w:val="00C02EED"/>
    <w:rsid w:val="00C41CBB"/>
    <w:rsid w:val="00C60A33"/>
    <w:rsid w:val="00C84646"/>
    <w:rsid w:val="00C96916"/>
    <w:rsid w:val="00CA4448"/>
    <w:rsid w:val="00CA65F9"/>
    <w:rsid w:val="00CA73DC"/>
    <w:rsid w:val="00CB51D8"/>
    <w:rsid w:val="00CB5A70"/>
    <w:rsid w:val="00CC26E3"/>
    <w:rsid w:val="00CD202E"/>
    <w:rsid w:val="00CD52EB"/>
    <w:rsid w:val="00CE0761"/>
    <w:rsid w:val="00CE1FE9"/>
    <w:rsid w:val="00D075B7"/>
    <w:rsid w:val="00D1109B"/>
    <w:rsid w:val="00D3579D"/>
    <w:rsid w:val="00D40BA9"/>
    <w:rsid w:val="00D9314B"/>
    <w:rsid w:val="00DA2C4B"/>
    <w:rsid w:val="00DA61B4"/>
    <w:rsid w:val="00DD0D89"/>
    <w:rsid w:val="00DD44FF"/>
    <w:rsid w:val="00DF6AD5"/>
    <w:rsid w:val="00E1620B"/>
    <w:rsid w:val="00E16636"/>
    <w:rsid w:val="00E30FC2"/>
    <w:rsid w:val="00E34062"/>
    <w:rsid w:val="00E4739B"/>
    <w:rsid w:val="00E52F5C"/>
    <w:rsid w:val="00E624D5"/>
    <w:rsid w:val="00E80342"/>
    <w:rsid w:val="00EA36A9"/>
    <w:rsid w:val="00EE235D"/>
    <w:rsid w:val="00F03AF7"/>
    <w:rsid w:val="00F265FC"/>
    <w:rsid w:val="00F33EDE"/>
    <w:rsid w:val="00F40938"/>
    <w:rsid w:val="00F541EB"/>
    <w:rsid w:val="00F62EC4"/>
    <w:rsid w:val="00F679CA"/>
    <w:rsid w:val="00FA2C4D"/>
    <w:rsid w:val="00FB00F2"/>
    <w:rsid w:val="00FE433B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614D-0352-43E0-A575-3A98EC0D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1466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Ščuglík</dc:creator>
  <cp:lastModifiedBy>Ondra</cp:lastModifiedBy>
  <cp:revision>5</cp:revision>
  <cp:lastPrinted>2010-11-11T22:08:00Z</cp:lastPrinted>
  <dcterms:created xsi:type="dcterms:W3CDTF">2011-03-30T10:14:00Z</dcterms:created>
  <dcterms:modified xsi:type="dcterms:W3CDTF">2011-09-06T18:08:00Z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